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B5EE6" w14:textId="41C0176A" w:rsidR="00D57385" w:rsidRDefault="00956D17" w:rsidP="00817471">
      <w:pPr>
        <w:pStyle w:val="title-page-authors"/>
        <w:widowControl w:val="0"/>
        <w:spacing w:before="0" w:after="0"/>
        <w:ind w:left="0"/>
      </w:pPr>
      <w:sdt>
        <w:sdtPr>
          <w:alias w:val="Authors"/>
          <w:tag w:val="Authors"/>
          <w:id w:val="-1550067750"/>
          <w:lock w:val="sdtLocked"/>
          <w:placeholder>
            <w:docPart w:val="DefaultPlaceholder_-1854013440"/>
          </w:placeholder>
          <w:dataBinding w:prefixMappings="xmlns:ns0='http://schemas.nasa.gov/otps/report' " w:xpath="/ns0:report[1]/ns0:authors[1]" w:storeItemID="{00000000-0000-0000-0000-000000000000}"/>
          <w:text/>
        </w:sdtPr>
        <w:sdtEndPr/>
        <w:sdtContent>
          <w:r w:rsidR="00B85F95">
            <w:t xml:space="preserve"> </w:t>
          </w:r>
        </w:sdtContent>
      </w:sdt>
    </w:p>
    <w:p w14:paraId="64B46AFD" w14:textId="251B48FC" w:rsidR="00D57385" w:rsidRDefault="00465AB5" w:rsidP="00817471">
      <w:pPr>
        <w:pStyle w:val="title-page-reviewers"/>
        <w:framePr w:wrap="auto" w:hAnchor="text" w:xAlign="left" w:yAlign="inline" w:anchorLock="0"/>
        <w:spacing w:before="0" w:after="0"/>
      </w:pPr>
      <w:r w:rsidRPr="00465AB5">
        <w:t xml:space="preserve"> </w:t>
      </w:r>
      <w:sdt>
        <w:sdtPr>
          <w:alias w:val="Reviewers"/>
          <w:tag w:val="Reviewers"/>
          <w:id w:val="1533919477"/>
          <w:lock w:val="sdtLocked"/>
          <w:placeholder>
            <w:docPart w:val="DefaultPlaceholder_-1854013440"/>
          </w:placeholder>
          <w:dataBinding w:prefixMappings="xmlns:ns0='http://schemas.nasa.gov/otps/report' " w:xpath="/ns0:report[1]/ns0:reviewers[1]" w:storeItemID="{00000000-0000-0000-0000-000000000000}"/>
          <w:text/>
        </w:sdtPr>
        <w:sdtEndPr/>
        <w:sdtContent>
          <w:r w:rsidR="00B85F95">
            <w:t xml:space="preserve"> </w:t>
          </w:r>
        </w:sdtContent>
      </w:sdt>
      <w:r w:rsidR="00E50F4F" w:rsidRPr="00E50F4F">
        <w:t xml:space="preserve"> </w:t>
      </w:r>
    </w:p>
    <w:p w14:paraId="43D90E23" w14:textId="7B7B8232" w:rsidR="0089720A" w:rsidRDefault="00956D17" w:rsidP="00817471">
      <w:pPr>
        <w:pStyle w:val="title-page-docid"/>
        <w:framePr w:w="0" w:wrap="auto" w:vAnchor="margin" w:yAlign="inline"/>
        <w:spacing w:before="0" w:after="0"/>
      </w:pPr>
      <w:sdt>
        <w:sdtPr>
          <w:alias w:val="Report ID"/>
          <w:tag w:val="report-id"/>
          <w:id w:val="910806960"/>
          <w:lock w:val="sdtLocked"/>
          <w:placeholder>
            <w:docPart w:val="41A3BDCE6F404E82BBF048303834CFE4"/>
          </w:placeholder>
          <w:dataBinding w:prefixMappings="xmlns:ns0='http://schemas.nasa.gov/otps/report' " w:xpath="/ns0:report[1]/ns0:reportid[1]" w:storeItemID="{00000000-0000-0000-0000-000000000000}"/>
          <w:text/>
        </w:sdtPr>
        <w:sdtEndPr/>
        <w:sdtContent>
          <w:r w:rsidR="00B85F95">
            <w:t xml:space="preserve"> </w:t>
          </w:r>
        </w:sdtContent>
      </w:sdt>
    </w:p>
    <w:p w14:paraId="23F48B68" w14:textId="77777777" w:rsidR="000A069A" w:rsidRPr="00B85F95" w:rsidRDefault="000A069A" w:rsidP="002822D1">
      <w:pPr>
        <w:pStyle w:val="Title"/>
        <w:rPr>
          <w:sz w:val="72"/>
          <w:szCs w:val="72"/>
        </w:rPr>
      </w:pPr>
      <w:r>
        <w:tab/>
      </w:r>
      <w:r w:rsidR="00D53A80" w:rsidRPr="00B85F95">
        <w:rPr>
          <w:sz w:val="72"/>
          <w:szCs w:val="72"/>
        </w:rPr>
        <w:t>Cost-Benefit</w:t>
      </w:r>
      <w:r w:rsidR="009D3A33" w:rsidRPr="00B85F95">
        <w:rPr>
          <w:sz w:val="72"/>
          <w:szCs w:val="72"/>
        </w:rPr>
        <w:t xml:space="preserve"> Analysis of Debris Risk Reduction Portfolios</w:t>
      </w:r>
    </w:p>
    <w:p w14:paraId="58DC8BEE" w14:textId="77777777" w:rsidR="009D3A33" w:rsidRDefault="009D3A33" w:rsidP="000A069A">
      <w:pPr>
        <w:tabs>
          <w:tab w:val="left" w:pos="1470"/>
        </w:tabs>
      </w:pPr>
    </w:p>
    <w:p w14:paraId="7C85ADBA" w14:textId="77777777" w:rsidR="009D3A33" w:rsidRDefault="009D3A33" w:rsidP="000A069A">
      <w:pPr>
        <w:tabs>
          <w:tab w:val="left" w:pos="1470"/>
        </w:tabs>
      </w:pPr>
    </w:p>
    <w:p w14:paraId="12415BE3" w14:textId="77777777" w:rsidR="009D3A33" w:rsidRDefault="009D3A33" w:rsidP="000A069A">
      <w:pPr>
        <w:tabs>
          <w:tab w:val="left" w:pos="1470"/>
        </w:tabs>
      </w:pPr>
    </w:p>
    <w:p w14:paraId="35DE3CAF" w14:textId="092DE59D" w:rsidR="002073DA" w:rsidRDefault="009D3A33" w:rsidP="002822D1">
      <w:pPr>
        <w:tabs>
          <w:tab w:val="left" w:pos="1470"/>
        </w:tabs>
        <w:jc w:val="center"/>
      </w:pPr>
      <w:r>
        <w:t xml:space="preserve">Akhil Rao, </w:t>
      </w:r>
      <w:r w:rsidR="002073DA">
        <w:t>Jericho Locke, Thomas J. Colvin</w:t>
      </w:r>
    </w:p>
    <w:p w14:paraId="0154A631" w14:textId="77777777" w:rsidR="002822D1" w:rsidRDefault="002822D1" w:rsidP="002822D1">
      <w:pPr>
        <w:tabs>
          <w:tab w:val="left" w:pos="1470"/>
        </w:tabs>
        <w:jc w:val="center"/>
      </w:pPr>
    </w:p>
    <w:p w14:paraId="12030799" w14:textId="6E3BD67E" w:rsidR="002822D1" w:rsidRPr="000A069A" w:rsidRDefault="002822D1" w:rsidP="002822D1">
      <w:pPr>
        <w:tabs>
          <w:tab w:val="left" w:pos="1470"/>
        </w:tabs>
        <w:jc w:val="center"/>
        <w:sectPr w:rsidR="002822D1" w:rsidRPr="000A069A" w:rsidSect="00657863">
          <w:pgSz w:w="12240" w:h="15840"/>
          <w:pgMar w:top="1440" w:right="1440" w:bottom="1238" w:left="1440" w:header="720" w:footer="720" w:gutter="0"/>
          <w:pgNumType w:fmt="lowerRoman" w:start="1"/>
          <w:cols w:space="720"/>
          <w:titlePg/>
          <w:docGrid w:linePitch="360"/>
        </w:sectPr>
      </w:pPr>
      <w:r>
        <w:t>NASA</w:t>
      </w:r>
    </w:p>
    <w:p w14:paraId="2B5C4FFD" w14:textId="3E754898" w:rsidR="002B2624" w:rsidRPr="002F32E6" w:rsidRDefault="003E3AD2" w:rsidP="000673C5">
      <w:pPr>
        <w:pStyle w:val="exec-summary-header"/>
      </w:pPr>
      <w:bookmarkStart w:id="0" w:name="_Toc192166290"/>
      <w:r w:rsidRPr="002F32E6">
        <w:rPr>
          <w:noProof/>
        </w:rPr>
        <w:lastRenderedPageBreak/>
        <mc:AlternateContent>
          <mc:Choice Requires="wps">
            <w:drawing>
              <wp:anchor distT="0" distB="0" distL="114300" distR="114300" simplePos="0" relativeHeight="251658242" behindDoc="1" locked="0" layoutInCell="1" allowOverlap="1" wp14:anchorId="2654C512" wp14:editId="0F7D81C6">
                <wp:simplePos x="0" y="0"/>
                <wp:positionH relativeFrom="page">
                  <wp:posOffset>8515350</wp:posOffset>
                </wp:positionH>
                <wp:positionV relativeFrom="page">
                  <wp:posOffset>-114300</wp:posOffset>
                </wp:positionV>
                <wp:extent cx="5486400" cy="2286000"/>
                <wp:effectExtent l="0" t="0" r="0" b="0"/>
                <wp:wrapNone/>
                <wp:docPr id="8" name="Rectangle 8"/>
                <wp:cNvGraphicFramePr/>
                <a:graphic xmlns:a="http://schemas.openxmlformats.org/drawingml/2006/main">
                  <a:graphicData uri="http://schemas.microsoft.com/office/word/2010/wordprocessingShape">
                    <wps:wsp>
                      <wps:cNvSpPr/>
                      <wps:spPr>
                        <a:xfrm>
                          <a:off x="0" y="0"/>
                          <a:ext cx="5486400" cy="228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26ED" id="Rectangle 8" o:spid="_x0000_s1026" style="position:absolute;margin-left:670.5pt;margin-top:-9pt;width:6in;height:180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" filled="f" stroked="f" strokeweight="1pt">
                <w10:wrap anchorx="page" anchory="page"/>
              </v:rect>
            </w:pict>
          </mc:Fallback>
        </mc:AlternateContent>
      </w:r>
      <w:r w:rsidR="40CD4238" w:rsidRPr="513AE77F">
        <w:rPr>
          <w:rFonts w:ascii="Helvetica" w:eastAsia="Helvetica" w:hAnsi="Helvetica" w:cs="Helvetica"/>
          <w:bCs/>
          <w:sz w:val="55"/>
          <w:szCs w:val="55"/>
        </w:rPr>
        <w:t>Execu</w:t>
      </w:r>
      <w:r w:rsidR="3F17130F" w:rsidRPr="002F32E6">
        <w:t>tive</w:t>
      </w:r>
      <w:r w:rsidR="00B1195B">
        <w:t xml:space="preserve"> Summary</w:t>
      </w:r>
      <w:bookmarkEnd w:id="0"/>
    </w:p>
    <w:p w14:paraId="46F9C928" w14:textId="7B0A3812" w:rsidR="002B2624" w:rsidRPr="00943BA9" w:rsidRDefault="000A069A" w:rsidP="002E3BFE">
      <w:pPr>
        <w:pStyle w:val="exec-summary-title"/>
      </w:pPr>
      <w:r>
        <w:t>Cost-Benefit Analysis of Debris Risk Reduction Portfolios</w:t>
      </w:r>
    </w:p>
    <w:p w14:paraId="14B4D3DC" w14:textId="3DDB23AD" w:rsidR="00D56823" w:rsidRPr="002E3BFE" w:rsidRDefault="002E3BFE" w:rsidP="00295A18">
      <w:pPr>
        <w:pStyle w:val="exec-summary-date"/>
        <w:keepNext w:val="0"/>
        <w:keepLines w:val="0"/>
        <w:framePr w:w="0" w:hRule="auto" w:vSpace="0" w:wrap="auto" w:vAnchor="margin" w:hAnchor="text" w:yAlign="inline"/>
        <w:widowControl w:val="0"/>
        <w:spacing w:before="0"/>
        <w:jc w:val="center"/>
      </w:pPr>
      <w:r>
        <w:tab/>
      </w:r>
      <w:r w:rsidR="00D56823" w:rsidRPr="002E3BFE">
        <w:tab/>
      </w:r>
      <w:sdt>
        <w:sdtPr>
          <w:alias w:val="Report ID"/>
          <w:tag w:val="Report ID"/>
          <w:id w:val="967254178"/>
          <w:lock w:val="sdtLocked"/>
          <w:placeholder>
            <w:docPart w:val="DefaultPlaceholder_-1854013440"/>
          </w:placeholder>
          <w:dataBinding w:prefixMappings="xmlns:ns0='http://schemas.nasa.gov/otps/report' " w:xpath="/ns0:report[1]/ns0:reportid[1]" w:storeItemID="{00000000-0000-0000-0000-000000000000}"/>
          <w:text/>
        </w:sdtPr>
        <w:sdtEndPr/>
        <w:sdtContent>
          <w:r w:rsidR="00B85F95">
            <w:t xml:space="preserve"> </w:t>
          </w:r>
        </w:sdtContent>
      </w:sdt>
    </w:p>
    <w:p w14:paraId="67EA1678" w14:textId="6F89D412" w:rsidR="00F72E25" w:rsidRDefault="00A83043" w:rsidP="00060DBD">
      <w:pPr>
        <w:pStyle w:val="Heading2"/>
      </w:pPr>
      <w:bookmarkStart w:id="1" w:name="_Toc192166291"/>
      <w:r>
        <w:t>Purpose</w:t>
      </w:r>
      <w:bookmarkEnd w:id="1"/>
    </w:p>
    <w:p w14:paraId="791F9550" w14:textId="5D8E8502" w:rsidR="009674D4" w:rsidRDefault="00150AB0" w:rsidP="006C541B">
      <w:r w:rsidRPr="00150AB0">
        <w:rPr>
          <w:i/>
          <w:iCs/>
        </w:rPr>
        <w:t>Orbital debris</w:t>
      </w:r>
      <w:r>
        <w:t xml:space="preserve"> is defined as all human-made</w:t>
      </w:r>
      <w:r w:rsidR="007907C4">
        <w:t>, nonfunctional</w:t>
      </w:r>
      <w:r>
        <w:t xml:space="preserve"> objects, including fragments and other elements, that are in Earth’s orbit or are reentering the atmosphere. </w:t>
      </w:r>
      <w:r w:rsidR="007907C4">
        <w:t>The</w:t>
      </w:r>
      <w:r w:rsidR="00C4553C">
        <w:t>se</w:t>
      </w:r>
      <w:r w:rsidR="007907C4">
        <w:t xml:space="preserve"> d</w:t>
      </w:r>
      <w:r>
        <w:t xml:space="preserve">ebris increase the costs of space operations by requiring efforts to shield against or maneuver around debris, threaten the safety of astronauts and satellites, </w:t>
      </w:r>
      <w:r w:rsidR="00C4553C">
        <w:t>hinder</w:t>
      </w:r>
      <w:r>
        <w:t xml:space="preserve"> the launch </w:t>
      </w:r>
      <w:r w:rsidR="00C4553C">
        <w:t xml:space="preserve">of new </w:t>
      </w:r>
      <w:r>
        <w:t>spacecraft, and may eventually make entire orbits unusable.</w:t>
      </w:r>
    </w:p>
    <w:p w14:paraId="5C38B682" w14:textId="0380E105" w:rsidR="00325D71" w:rsidRDefault="00705F3C" w:rsidP="006C541B">
      <w:r>
        <w:t>A wide range of actions have been proposed to address risks from orbital debris</w:t>
      </w:r>
      <w:r w:rsidR="00767DF6">
        <w:t xml:space="preserve">, from mitigating their creation to removing </w:t>
      </w:r>
      <w:r w:rsidR="00C4553C">
        <w:t>existing</w:t>
      </w:r>
      <w:r w:rsidR="00767DF6">
        <w:t xml:space="preserve"> objects. </w:t>
      </w:r>
      <w:r w:rsidR="00C174C7">
        <w:t xml:space="preserve">The effectiveness of these actions </w:t>
      </w:r>
      <w:r w:rsidR="009261E0">
        <w:t>has</w:t>
      </w:r>
      <w:r w:rsidR="00C174C7">
        <w:t xml:space="preserve"> typically been assessed in isolation. This includes previous work by the authors—</w:t>
      </w:r>
      <w:r w:rsidR="00C174C7" w:rsidRPr="00C174C7">
        <w:t xml:space="preserve"> </w:t>
      </w:r>
      <w:r w:rsidR="00C174C7">
        <w:t xml:space="preserve">referred to here as Phase 1 </w:t>
      </w:r>
      <w:sdt>
        <w:sdtPr>
          <w:id w:val="-812412441"/>
          <w:citation/>
        </w:sdtPr>
        <w:sdtEndPr/>
        <w:sdtContent>
          <w:r w:rsidR="00C174C7">
            <w:fldChar w:fldCharType="begin"/>
          </w:r>
          <w:r w:rsidR="00C174C7">
            <w:instrText xml:space="preserve"> CITATION Col23 \l 1033 </w:instrText>
          </w:r>
          <w:r w:rsidR="00C174C7">
            <w:fldChar w:fldCharType="separate"/>
          </w:r>
          <w:r w:rsidR="00C174C7">
            <w:rPr>
              <w:noProof/>
            </w:rPr>
            <w:t>(Colvin, Karcz and Wusk 2023)</w:t>
          </w:r>
          <w:r w:rsidR="00C174C7">
            <w:fldChar w:fldCharType="end"/>
          </w:r>
        </w:sdtContent>
      </w:sdt>
      <w:r w:rsidR="00C174C7">
        <w:t xml:space="preserve"> and Phase 2 </w:t>
      </w:r>
      <w:sdt>
        <w:sdtPr>
          <w:id w:val="-1161694648"/>
          <w:citation/>
        </w:sdtPr>
        <w:sdtEndPr/>
        <w:sdtContent>
          <w:r w:rsidR="00C174C7">
            <w:fldChar w:fldCharType="begin"/>
          </w:r>
          <w:r w:rsidR="00C174C7">
            <w:instrText xml:space="preserve"> CITATION Loc24 \l 1033 </w:instrText>
          </w:r>
          <w:r w:rsidR="00C174C7">
            <w:fldChar w:fldCharType="separate"/>
          </w:r>
          <w:r w:rsidR="00C174C7">
            <w:rPr>
              <w:noProof/>
            </w:rPr>
            <w:t>(Locke, et al. 2024)</w:t>
          </w:r>
          <w:r w:rsidR="00C174C7">
            <w:fldChar w:fldCharType="end"/>
          </w:r>
        </w:sdtContent>
      </w:sdt>
      <w:r w:rsidR="00C174C7">
        <w:t xml:space="preserve">—to assess the costs and benefits of performing debris remediation, mitigation, and tracking on operationally relevant timescales. </w:t>
      </w:r>
      <w:r w:rsidR="009261E0">
        <w:t xml:space="preserve">In reality, no risk-reducing action will be applied </w:t>
      </w:r>
      <w:r w:rsidR="00BF2086">
        <w:t>by itself</w:t>
      </w:r>
      <w:r w:rsidR="00267E8E">
        <w:t>, as</w:t>
      </w:r>
      <w:r w:rsidR="00487427">
        <w:t xml:space="preserve"> </w:t>
      </w:r>
      <w:r w:rsidR="006D453C">
        <w:t xml:space="preserve">operational norms </w:t>
      </w:r>
      <w:r w:rsidR="00487427">
        <w:t xml:space="preserve">naturally </w:t>
      </w:r>
      <w:r w:rsidR="00B85F95">
        <w:t>evolve,</w:t>
      </w:r>
      <w:r w:rsidR="006D453C">
        <w:t xml:space="preserve"> or policymakers consider parallel interventions. </w:t>
      </w:r>
      <w:r w:rsidR="00B63E1D">
        <w:t xml:space="preserve">Ignoring interdependencies is a key gap in our objective to build a capability that can (1) complete rigorous calculations of the net present value of each action, (2) identify an </w:t>
      </w:r>
      <w:r w:rsidR="001243E8">
        <w:t>economically efficient</w:t>
      </w:r>
      <w:r w:rsidR="00B63E1D">
        <w:t xml:space="preserve"> portfolio of actions to reduce risk, and (3) quantitatively analyze policies related to space sustainability.</w:t>
      </w:r>
    </w:p>
    <w:p w14:paraId="192C0248" w14:textId="4E126CBD" w:rsidR="007A3874" w:rsidRDefault="007A3874" w:rsidP="006C541B">
      <w:r>
        <w:t xml:space="preserve">This work </w:t>
      </w:r>
      <w:r w:rsidR="00CA629E">
        <w:t>assesses the effectiveness of different portfolios of risk-reducing actions</w:t>
      </w:r>
      <w:r w:rsidR="00B63E1D">
        <w:t xml:space="preserve">, accounting for </w:t>
      </w:r>
      <w:r w:rsidR="00CA629E">
        <w:t xml:space="preserve">the </w:t>
      </w:r>
      <w:r w:rsidR="003E00B6">
        <w:t>interdependencies</w:t>
      </w:r>
      <w:r w:rsidR="00CA629E">
        <w:t xml:space="preserve"> among </w:t>
      </w:r>
      <w:r w:rsidR="003E00B6">
        <w:t xml:space="preserve">actions. </w:t>
      </w:r>
      <w:r w:rsidR="004170CD">
        <w:t>The analysis uses the models developed in Phase 1 and Phase 2 to analyze combinations of remediation, mitigation, and tracking actions and identify economically efficient portfolios of actions. We demonstrate that our approach of measuring risks in dollars facilitates identification of</w:t>
      </w:r>
      <w:r w:rsidR="00FF328F">
        <w:t xml:space="preserve"> </w:t>
      </w:r>
      <w:r w:rsidR="004170CD">
        <w:t>complementarities and substitution potential between actions. These, in turn, generate novel results about technology development priorities given budget and other constraints.</w:t>
      </w:r>
    </w:p>
    <w:p w14:paraId="611764CF" w14:textId="0D498538" w:rsidR="00F72E25" w:rsidRDefault="00A83043" w:rsidP="00E9528E">
      <w:pPr>
        <w:pStyle w:val="Heading2"/>
      </w:pPr>
      <w:bookmarkStart w:id="2" w:name="_Toc192166292"/>
      <w:r>
        <w:t>Key Findings</w:t>
      </w:r>
      <w:bookmarkEnd w:id="2"/>
    </w:p>
    <w:p w14:paraId="418D7D13" w14:textId="4B2122E5" w:rsidR="00105DE3" w:rsidRDefault="00C94FAD" w:rsidP="00DC7C55">
      <w:r>
        <w:t xml:space="preserve">First, the interaction between different risk-reducing actions </w:t>
      </w:r>
      <w:r w:rsidR="007D3918">
        <w:t>matters. In all</w:t>
      </w:r>
      <w:r w:rsidR="00331E91">
        <w:t xml:space="preserve"> assessments</w:t>
      </w:r>
      <w:r w:rsidR="007D3918">
        <w:t xml:space="preserve">, the marginal value of adding an individual action to the portfolio does not equal the individual value of that action. </w:t>
      </w:r>
      <w:r w:rsidR="00B73236">
        <w:t xml:space="preserve">For example, </w:t>
      </w:r>
      <w:r w:rsidR="008C5F59">
        <w:t>the benefit of implementing both active debris removal (ADR) and just in time collision avoidance (JCA)</w:t>
      </w:r>
      <w:r w:rsidR="00D00249">
        <w:t xml:space="preserve"> </w:t>
      </w:r>
      <w:r w:rsidR="00D11BC1">
        <w:t>is</w:t>
      </w:r>
      <w:r w:rsidR="00A34A87">
        <w:t xml:space="preserve"> </w:t>
      </w:r>
      <w:r w:rsidR="00D11BC1">
        <w:t xml:space="preserve">two-thirds of the sum of their individual benefits. </w:t>
      </w:r>
      <w:r w:rsidR="00DF7330">
        <w:t xml:space="preserve">Making decisions solely based on individual assessments risks making investments that strongly substitute or missing </w:t>
      </w:r>
      <w:r w:rsidR="003D323E">
        <w:t>complement</w:t>
      </w:r>
      <w:r w:rsidR="005863E2">
        <w:t>aritie</w:t>
      </w:r>
      <w:r w:rsidR="003D323E">
        <w:t>s between options.</w:t>
      </w:r>
    </w:p>
    <w:p w14:paraId="29FC0376" w14:textId="6E33BBE6" w:rsidR="00EA4544" w:rsidRDefault="00EA4544" w:rsidP="00DC7C55">
      <w:r>
        <w:lastRenderedPageBreak/>
        <w:t xml:space="preserve">Second, the most efficient </w:t>
      </w:r>
      <w:r w:rsidR="00946ADF">
        <w:t xml:space="preserve">set of actions as predicted by the model depended greatly on initial assumptions of the space environment. </w:t>
      </w:r>
      <w:r w:rsidR="00E85060">
        <w:t>While</w:t>
      </w:r>
      <w:r w:rsidR="00E85060" w:rsidRPr="00690E36">
        <w:t xml:space="preserve"> both </w:t>
      </w:r>
      <w:r w:rsidR="00E85060">
        <w:t>models</w:t>
      </w:r>
      <w:r w:rsidR="00E85060" w:rsidRPr="00690E36">
        <w:t xml:space="preserve"> identify the same </w:t>
      </w:r>
      <w:r w:rsidR="00E85060">
        <w:t>portfolios</w:t>
      </w:r>
      <w:r w:rsidR="00E85060" w:rsidRPr="00690E36">
        <w:t xml:space="preserve"> as </w:t>
      </w:r>
      <w:r w:rsidR="00E85060">
        <w:t>efficient</w:t>
      </w:r>
      <w:r w:rsidR="005863E2">
        <w:t>—</w:t>
      </w:r>
      <w:r w:rsidR="00E85060" w:rsidRPr="00690E36">
        <w:t>and, consequently, the budgets required are identical</w:t>
      </w:r>
      <w:r w:rsidR="005863E2">
        <w:t>—</w:t>
      </w:r>
      <w:r w:rsidR="00E85060">
        <w:t>the estimated NPV of the efficient space sustainability portfolio differs across models by an order of magnitude. This is likely mainly due to differences in the underlying flux submodels. Model 1 is based on NASA’s Orbital Debris Engineering Model (ORDEM), which predicts much higher small debris fluxes than ESA’s Meteoroid and Space Debris Terrestrial Environment Reference (MASTER), on which Model 2 is based. This results in Model 1 predicting greater damages if no risk is addressed and consequently greater benefits from addressing risk.</w:t>
      </w:r>
    </w:p>
    <w:p w14:paraId="60DFA016" w14:textId="51BC49AF" w:rsidR="00E85060" w:rsidRDefault="00E85060" w:rsidP="00E85060">
      <w:pPr>
        <w:pStyle w:val="Caption"/>
        <w:keepNext/>
      </w:pPr>
      <w:r>
        <w:t>Table E-1: Efficient portfolios with no constraints on which actions are chosen.</w:t>
      </w:r>
    </w:p>
    <w:tbl>
      <w:tblPr>
        <w:tblStyle w:val="TableGrid"/>
        <w:tblW w:w="0" w:type="auto"/>
        <w:tblInd w:w="-5" w:type="dxa"/>
        <w:tblLayout w:type="fixed"/>
        <w:tblLook w:val="04A0" w:firstRow="1" w:lastRow="0" w:firstColumn="1" w:lastColumn="0" w:noHBand="0" w:noVBand="1"/>
      </w:tblPr>
      <w:tblGrid>
        <w:gridCol w:w="1260"/>
        <w:gridCol w:w="3420"/>
        <w:gridCol w:w="1260"/>
        <w:gridCol w:w="3415"/>
      </w:tblGrid>
      <w:tr w:rsidR="00E85060" w14:paraId="53BAB95D" w14:textId="77777777" w:rsidTr="00A215F8">
        <w:trPr>
          <w:trHeight w:val="598"/>
        </w:trPr>
        <w:tc>
          <w:tcPr>
            <w:tcW w:w="4680" w:type="dxa"/>
            <w:gridSpan w:val="2"/>
            <w:shd w:val="clear" w:color="auto" w:fill="E7E6E6" w:themeFill="background2"/>
            <w:vAlign w:val="center"/>
          </w:tcPr>
          <w:p w14:paraId="7E0D4BD2" w14:textId="77777777" w:rsidR="00E85060" w:rsidRPr="002B4183" w:rsidRDefault="00E85060" w:rsidP="00A215F8">
            <w:pPr>
              <w:spacing w:before="192"/>
              <w:jc w:val="center"/>
              <w:rPr>
                <w:b/>
                <w:bCs/>
              </w:rPr>
            </w:pPr>
            <w:r w:rsidRPr="002B4183">
              <w:rPr>
                <w:b/>
                <w:bCs/>
              </w:rPr>
              <w:t>Model 1</w:t>
            </w:r>
          </w:p>
        </w:tc>
        <w:tc>
          <w:tcPr>
            <w:tcW w:w="4675" w:type="dxa"/>
            <w:gridSpan w:val="2"/>
            <w:shd w:val="clear" w:color="auto" w:fill="E7E6E6" w:themeFill="background2"/>
            <w:vAlign w:val="center"/>
          </w:tcPr>
          <w:p w14:paraId="5F22C3B4" w14:textId="77777777" w:rsidR="00E85060" w:rsidRPr="002B4183" w:rsidRDefault="00E85060" w:rsidP="00A215F8">
            <w:pPr>
              <w:spacing w:before="192"/>
              <w:jc w:val="center"/>
              <w:rPr>
                <w:b/>
                <w:bCs/>
              </w:rPr>
            </w:pPr>
            <w:r w:rsidRPr="002B4183">
              <w:rPr>
                <w:b/>
                <w:bCs/>
              </w:rPr>
              <w:t xml:space="preserve">Model </w:t>
            </w:r>
            <w:r>
              <w:rPr>
                <w:b/>
                <w:bCs/>
              </w:rPr>
              <w:t>2</w:t>
            </w:r>
          </w:p>
        </w:tc>
      </w:tr>
      <w:tr w:rsidR="00E85060" w14:paraId="5BD4455C" w14:textId="77777777" w:rsidTr="00A215F8">
        <w:trPr>
          <w:trHeight w:val="520"/>
        </w:trPr>
        <w:tc>
          <w:tcPr>
            <w:tcW w:w="1260" w:type="dxa"/>
            <w:shd w:val="clear" w:color="auto" w:fill="E7E6E6" w:themeFill="background2"/>
            <w:vAlign w:val="center"/>
          </w:tcPr>
          <w:p w14:paraId="3D6610FB" w14:textId="3F63A467" w:rsidR="00E85060" w:rsidRPr="00C76985" w:rsidRDefault="00E85060" w:rsidP="00A215F8">
            <w:pPr>
              <w:jc w:val="center"/>
              <w:rPr>
                <w:b/>
                <w:bCs/>
                <w:szCs w:val="23"/>
              </w:rPr>
            </w:pPr>
            <w:r>
              <w:rPr>
                <w:b/>
                <w:bCs/>
                <w:szCs w:val="23"/>
              </w:rPr>
              <w:t>Ranking of</w:t>
            </w:r>
            <w:r w:rsidRPr="00C76985" w:rsidDel="00725B16">
              <w:rPr>
                <w:b/>
                <w:bCs/>
                <w:szCs w:val="23"/>
              </w:rPr>
              <w:t xml:space="preserve"> </w:t>
            </w:r>
            <w:r w:rsidRPr="00C76985">
              <w:rPr>
                <w:b/>
                <w:bCs/>
                <w:szCs w:val="23"/>
              </w:rPr>
              <w:t>portfolio</w:t>
            </w:r>
            <w:r>
              <w:rPr>
                <w:b/>
                <w:bCs/>
                <w:szCs w:val="23"/>
              </w:rPr>
              <w:t xml:space="preserve"> actions</w:t>
            </w:r>
          </w:p>
        </w:tc>
        <w:tc>
          <w:tcPr>
            <w:tcW w:w="3420" w:type="dxa"/>
            <w:shd w:val="clear" w:color="auto" w:fill="auto"/>
            <w:vAlign w:val="center"/>
          </w:tcPr>
          <w:p w14:paraId="0FA6521E" w14:textId="77777777" w:rsidR="00E85060" w:rsidRDefault="00E85060" w:rsidP="00A215F8">
            <w:pPr>
              <w:pStyle w:val="ListParagraph"/>
              <w:numPr>
                <w:ilvl w:val="0"/>
                <w:numId w:val="31"/>
              </w:numPr>
              <w:jc w:val="both"/>
              <w:rPr>
                <w:szCs w:val="23"/>
              </w:rPr>
            </w:pPr>
            <w:r>
              <w:rPr>
                <w:szCs w:val="23"/>
              </w:rPr>
              <w:t>Shield against 5mm debris</w:t>
            </w:r>
          </w:p>
          <w:p w14:paraId="7AA8EFB5" w14:textId="77777777" w:rsidR="00E85060" w:rsidRDefault="00E85060" w:rsidP="00A215F8">
            <w:pPr>
              <w:pStyle w:val="ListParagraph"/>
              <w:numPr>
                <w:ilvl w:val="0"/>
                <w:numId w:val="31"/>
              </w:numPr>
              <w:jc w:val="both"/>
              <w:rPr>
                <w:szCs w:val="23"/>
              </w:rPr>
            </w:pPr>
            <w:r>
              <w:rPr>
                <w:szCs w:val="23"/>
              </w:rPr>
              <w:t>Laser ranging and 2 new Space Fences</w:t>
            </w:r>
          </w:p>
          <w:p w14:paraId="3E00F667" w14:textId="77777777" w:rsidR="00E85060" w:rsidRDefault="00E85060" w:rsidP="00A215F8">
            <w:pPr>
              <w:pStyle w:val="ListParagraph"/>
              <w:numPr>
                <w:ilvl w:val="0"/>
                <w:numId w:val="31"/>
              </w:numPr>
              <w:jc w:val="both"/>
              <w:rPr>
                <w:szCs w:val="23"/>
              </w:rPr>
            </w:pPr>
            <w:r>
              <w:rPr>
                <w:szCs w:val="23"/>
              </w:rPr>
              <w:t>Laser JCA</w:t>
            </w:r>
          </w:p>
          <w:p w14:paraId="45F9ACCD" w14:textId="77777777" w:rsidR="00E85060" w:rsidRDefault="00E85060" w:rsidP="00A215F8">
            <w:pPr>
              <w:pStyle w:val="ListParagraph"/>
              <w:numPr>
                <w:ilvl w:val="0"/>
                <w:numId w:val="31"/>
              </w:numPr>
              <w:jc w:val="both"/>
              <w:rPr>
                <w:szCs w:val="23"/>
              </w:rPr>
            </w:pPr>
            <w:r>
              <w:rPr>
                <w:szCs w:val="23"/>
              </w:rPr>
              <w:t>0-year PMD</w:t>
            </w:r>
          </w:p>
          <w:p w14:paraId="16671715" w14:textId="77777777" w:rsidR="00E85060" w:rsidRDefault="00E85060" w:rsidP="00A215F8">
            <w:pPr>
              <w:pStyle w:val="ListParagraph"/>
              <w:numPr>
                <w:ilvl w:val="0"/>
                <w:numId w:val="31"/>
              </w:numPr>
              <w:jc w:val="both"/>
              <w:rPr>
                <w:szCs w:val="23"/>
              </w:rPr>
            </w:pPr>
            <w:r>
              <w:rPr>
                <w:szCs w:val="23"/>
              </w:rPr>
              <w:t>Passivation</w:t>
            </w:r>
          </w:p>
          <w:p w14:paraId="0BED359B" w14:textId="77777777" w:rsidR="00E85060" w:rsidRPr="00FD0757" w:rsidRDefault="00E85060" w:rsidP="00A215F8">
            <w:pPr>
              <w:pStyle w:val="ListParagraph"/>
              <w:numPr>
                <w:ilvl w:val="0"/>
                <w:numId w:val="31"/>
              </w:numPr>
              <w:jc w:val="both"/>
              <w:rPr>
                <w:szCs w:val="23"/>
              </w:rPr>
            </w:pPr>
            <w:r>
              <w:rPr>
                <w:szCs w:val="23"/>
              </w:rPr>
              <w:t>Laser removal of cm debris</w:t>
            </w:r>
          </w:p>
        </w:tc>
        <w:tc>
          <w:tcPr>
            <w:tcW w:w="1260" w:type="dxa"/>
            <w:shd w:val="clear" w:color="auto" w:fill="E7E6E6" w:themeFill="background2"/>
            <w:vAlign w:val="center"/>
          </w:tcPr>
          <w:p w14:paraId="262E3EE5" w14:textId="6CA6D77C" w:rsidR="00E85060" w:rsidRPr="00C76985" w:rsidRDefault="00E85060" w:rsidP="00A215F8">
            <w:pPr>
              <w:jc w:val="center"/>
              <w:rPr>
                <w:b/>
                <w:bCs/>
                <w:szCs w:val="23"/>
              </w:rPr>
            </w:pPr>
            <w:r>
              <w:rPr>
                <w:b/>
                <w:bCs/>
                <w:szCs w:val="23"/>
              </w:rPr>
              <w:t>Ranking of</w:t>
            </w:r>
            <w:r w:rsidRPr="00C76985" w:rsidDel="00725B16">
              <w:rPr>
                <w:b/>
                <w:bCs/>
                <w:szCs w:val="23"/>
              </w:rPr>
              <w:t xml:space="preserve"> </w:t>
            </w:r>
            <w:r w:rsidRPr="00C76985">
              <w:rPr>
                <w:b/>
                <w:bCs/>
                <w:szCs w:val="23"/>
              </w:rPr>
              <w:t>portfolio</w:t>
            </w:r>
            <w:r>
              <w:rPr>
                <w:b/>
                <w:bCs/>
                <w:szCs w:val="23"/>
              </w:rPr>
              <w:t xml:space="preserve"> actions</w:t>
            </w:r>
          </w:p>
        </w:tc>
        <w:tc>
          <w:tcPr>
            <w:tcW w:w="3415" w:type="dxa"/>
            <w:shd w:val="clear" w:color="auto" w:fill="auto"/>
            <w:vAlign w:val="center"/>
          </w:tcPr>
          <w:p w14:paraId="572FAAE3" w14:textId="77777777" w:rsidR="00E85060" w:rsidRDefault="00E85060" w:rsidP="00A215F8">
            <w:pPr>
              <w:pStyle w:val="ListParagraph"/>
              <w:numPr>
                <w:ilvl w:val="0"/>
                <w:numId w:val="32"/>
              </w:numPr>
              <w:jc w:val="both"/>
              <w:rPr>
                <w:szCs w:val="23"/>
              </w:rPr>
            </w:pPr>
            <w:r>
              <w:rPr>
                <w:szCs w:val="23"/>
              </w:rPr>
              <w:t>Laser ranging and 2 new Space Fences</w:t>
            </w:r>
          </w:p>
          <w:p w14:paraId="5ABB9C2E" w14:textId="77777777" w:rsidR="00E85060" w:rsidRDefault="00E85060" w:rsidP="00A215F8">
            <w:pPr>
              <w:pStyle w:val="ListParagraph"/>
              <w:numPr>
                <w:ilvl w:val="0"/>
                <w:numId w:val="32"/>
              </w:numPr>
              <w:jc w:val="both"/>
              <w:rPr>
                <w:szCs w:val="23"/>
              </w:rPr>
            </w:pPr>
            <w:r>
              <w:rPr>
                <w:szCs w:val="23"/>
              </w:rPr>
              <w:t>Laser removal of cm debris</w:t>
            </w:r>
          </w:p>
          <w:p w14:paraId="6A63891E" w14:textId="77777777" w:rsidR="00E85060" w:rsidRDefault="00E85060" w:rsidP="00A215F8">
            <w:pPr>
              <w:pStyle w:val="ListParagraph"/>
              <w:numPr>
                <w:ilvl w:val="0"/>
                <w:numId w:val="32"/>
              </w:numPr>
              <w:jc w:val="both"/>
              <w:rPr>
                <w:szCs w:val="23"/>
              </w:rPr>
            </w:pPr>
            <w:r>
              <w:rPr>
                <w:szCs w:val="23"/>
              </w:rPr>
              <w:t>Laser JCA</w:t>
            </w:r>
          </w:p>
          <w:p w14:paraId="07904022" w14:textId="77777777" w:rsidR="00E85060" w:rsidRDefault="00E85060" w:rsidP="00A215F8">
            <w:pPr>
              <w:pStyle w:val="ListParagraph"/>
              <w:numPr>
                <w:ilvl w:val="0"/>
                <w:numId w:val="32"/>
              </w:numPr>
              <w:jc w:val="both"/>
              <w:rPr>
                <w:szCs w:val="23"/>
              </w:rPr>
            </w:pPr>
            <w:r>
              <w:rPr>
                <w:szCs w:val="23"/>
              </w:rPr>
              <w:t>Shield against 5mm debris</w:t>
            </w:r>
          </w:p>
          <w:p w14:paraId="43F911F9" w14:textId="77777777" w:rsidR="00E85060" w:rsidRDefault="00E85060" w:rsidP="00A215F8">
            <w:pPr>
              <w:pStyle w:val="ListParagraph"/>
              <w:numPr>
                <w:ilvl w:val="0"/>
                <w:numId w:val="32"/>
              </w:numPr>
              <w:jc w:val="both"/>
              <w:rPr>
                <w:szCs w:val="23"/>
              </w:rPr>
            </w:pPr>
            <w:r>
              <w:rPr>
                <w:szCs w:val="23"/>
              </w:rPr>
              <w:t>0-year PMD</w:t>
            </w:r>
          </w:p>
          <w:p w14:paraId="45334B15" w14:textId="77777777" w:rsidR="00E85060" w:rsidRPr="00FD0757" w:rsidRDefault="00E85060" w:rsidP="00A215F8">
            <w:pPr>
              <w:pStyle w:val="ListParagraph"/>
              <w:numPr>
                <w:ilvl w:val="0"/>
                <w:numId w:val="32"/>
              </w:numPr>
              <w:jc w:val="both"/>
              <w:rPr>
                <w:szCs w:val="23"/>
              </w:rPr>
            </w:pPr>
            <w:r>
              <w:rPr>
                <w:szCs w:val="23"/>
              </w:rPr>
              <w:t>Passivation</w:t>
            </w:r>
          </w:p>
        </w:tc>
      </w:tr>
      <w:tr w:rsidR="00E85060" w14:paraId="1F505F62" w14:textId="77777777" w:rsidTr="00A215F8">
        <w:trPr>
          <w:trHeight w:val="520"/>
        </w:trPr>
        <w:tc>
          <w:tcPr>
            <w:tcW w:w="1260" w:type="dxa"/>
            <w:shd w:val="clear" w:color="auto" w:fill="E7E6E6" w:themeFill="background2"/>
            <w:vAlign w:val="center"/>
          </w:tcPr>
          <w:p w14:paraId="7975C75D" w14:textId="77777777" w:rsidR="00E85060" w:rsidRPr="00C76985" w:rsidRDefault="00E85060" w:rsidP="00A215F8">
            <w:pPr>
              <w:jc w:val="center"/>
              <w:rPr>
                <w:szCs w:val="23"/>
              </w:rPr>
            </w:pPr>
            <w:r w:rsidRPr="00C76985">
              <w:rPr>
                <w:b/>
                <w:bCs/>
                <w:szCs w:val="23"/>
              </w:rPr>
              <w:t>NPV</w:t>
            </w:r>
          </w:p>
        </w:tc>
        <w:tc>
          <w:tcPr>
            <w:tcW w:w="3420" w:type="dxa"/>
            <w:vAlign w:val="center"/>
          </w:tcPr>
          <w:p w14:paraId="366E3F09" w14:textId="77777777" w:rsidR="00E85060" w:rsidRPr="00C76985" w:rsidRDefault="00E85060" w:rsidP="00A215F8">
            <w:pPr>
              <w:jc w:val="center"/>
              <w:rPr>
                <w:szCs w:val="23"/>
              </w:rPr>
            </w:pPr>
            <w:r w:rsidRPr="00C76985">
              <w:rPr>
                <w:szCs w:val="23"/>
              </w:rPr>
              <w:t>$</w:t>
            </w:r>
            <w:r>
              <w:rPr>
                <w:szCs w:val="23"/>
              </w:rPr>
              <w:t>2.97</w:t>
            </w:r>
            <w:r w:rsidRPr="00C76985">
              <w:rPr>
                <w:szCs w:val="23"/>
              </w:rPr>
              <w:t xml:space="preserve"> T</w:t>
            </w:r>
          </w:p>
        </w:tc>
        <w:tc>
          <w:tcPr>
            <w:tcW w:w="1260" w:type="dxa"/>
            <w:shd w:val="clear" w:color="auto" w:fill="E7E6E6" w:themeFill="background2"/>
            <w:vAlign w:val="center"/>
          </w:tcPr>
          <w:p w14:paraId="3E7506AC" w14:textId="77777777" w:rsidR="00E85060" w:rsidRPr="00C76985" w:rsidRDefault="00E85060" w:rsidP="00A215F8">
            <w:pPr>
              <w:jc w:val="center"/>
              <w:rPr>
                <w:szCs w:val="23"/>
              </w:rPr>
            </w:pPr>
            <w:r w:rsidRPr="00C76985">
              <w:rPr>
                <w:b/>
                <w:bCs/>
                <w:szCs w:val="23"/>
              </w:rPr>
              <w:t>NPV</w:t>
            </w:r>
          </w:p>
        </w:tc>
        <w:tc>
          <w:tcPr>
            <w:tcW w:w="3415" w:type="dxa"/>
            <w:vAlign w:val="center"/>
          </w:tcPr>
          <w:p w14:paraId="2A8DDC7D" w14:textId="77777777" w:rsidR="00E85060" w:rsidRPr="00C76985" w:rsidRDefault="00E85060" w:rsidP="00A215F8">
            <w:pPr>
              <w:jc w:val="center"/>
              <w:rPr>
                <w:szCs w:val="23"/>
              </w:rPr>
            </w:pPr>
            <w:r w:rsidRPr="00C76985">
              <w:rPr>
                <w:szCs w:val="23"/>
              </w:rPr>
              <w:t>$</w:t>
            </w:r>
            <w:r>
              <w:rPr>
                <w:szCs w:val="23"/>
              </w:rPr>
              <w:t>281</w:t>
            </w:r>
            <w:r w:rsidRPr="00C76985">
              <w:rPr>
                <w:szCs w:val="23"/>
              </w:rPr>
              <w:t xml:space="preserve"> B</w:t>
            </w:r>
          </w:p>
        </w:tc>
      </w:tr>
      <w:tr w:rsidR="00E85060" w14:paraId="3EC07B8B" w14:textId="77777777" w:rsidTr="00A215F8">
        <w:trPr>
          <w:trHeight w:val="520"/>
        </w:trPr>
        <w:tc>
          <w:tcPr>
            <w:tcW w:w="1260" w:type="dxa"/>
            <w:shd w:val="clear" w:color="auto" w:fill="E7E6E6" w:themeFill="background2"/>
            <w:vAlign w:val="center"/>
          </w:tcPr>
          <w:p w14:paraId="69680060" w14:textId="77777777" w:rsidR="00E85060" w:rsidRPr="00AC0BD6" w:rsidRDefault="00E85060" w:rsidP="00A215F8">
            <w:pPr>
              <w:jc w:val="center"/>
              <w:rPr>
                <w:szCs w:val="23"/>
              </w:rPr>
            </w:pPr>
            <w:r w:rsidRPr="00AC0BD6">
              <w:rPr>
                <w:b/>
                <w:bCs/>
                <w:szCs w:val="23"/>
              </w:rPr>
              <w:t>Up-front cost</w:t>
            </w:r>
          </w:p>
        </w:tc>
        <w:tc>
          <w:tcPr>
            <w:tcW w:w="3420" w:type="dxa"/>
            <w:vAlign w:val="center"/>
          </w:tcPr>
          <w:p w14:paraId="55E3518B" w14:textId="77777777" w:rsidR="00E85060" w:rsidRPr="00C76985" w:rsidRDefault="00E85060" w:rsidP="00A215F8">
            <w:pPr>
              <w:jc w:val="center"/>
              <w:rPr>
                <w:szCs w:val="23"/>
              </w:rPr>
            </w:pPr>
            <w:r>
              <w:rPr>
                <w:szCs w:val="23"/>
              </w:rPr>
              <w:t>$2.51 B</w:t>
            </w:r>
          </w:p>
        </w:tc>
        <w:tc>
          <w:tcPr>
            <w:tcW w:w="1260" w:type="dxa"/>
            <w:shd w:val="clear" w:color="auto" w:fill="E7E6E6" w:themeFill="background2"/>
            <w:vAlign w:val="center"/>
          </w:tcPr>
          <w:p w14:paraId="0CBC2634" w14:textId="77777777" w:rsidR="00E85060" w:rsidRPr="00AC0BD6" w:rsidRDefault="00E85060" w:rsidP="00A215F8">
            <w:pPr>
              <w:jc w:val="center"/>
              <w:rPr>
                <w:szCs w:val="23"/>
              </w:rPr>
            </w:pPr>
            <w:r w:rsidRPr="00AC0BD6">
              <w:rPr>
                <w:b/>
                <w:bCs/>
                <w:szCs w:val="23"/>
              </w:rPr>
              <w:t>Up-front cost</w:t>
            </w:r>
          </w:p>
        </w:tc>
        <w:tc>
          <w:tcPr>
            <w:tcW w:w="3415" w:type="dxa"/>
            <w:vAlign w:val="center"/>
          </w:tcPr>
          <w:p w14:paraId="2912512A" w14:textId="77777777" w:rsidR="00E85060" w:rsidRPr="00C76985" w:rsidRDefault="00E85060" w:rsidP="00A215F8">
            <w:pPr>
              <w:jc w:val="center"/>
              <w:rPr>
                <w:szCs w:val="23"/>
              </w:rPr>
            </w:pPr>
            <w:r>
              <w:rPr>
                <w:szCs w:val="23"/>
              </w:rPr>
              <w:t>$2.51 B</w:t>
            </w:r>
          </w:p>
        </w:tc>
      </w:tr>
      <w:tr w:rsidR="00E85060" w14:paraId="66AEE74F" w14:textId="77777777" w:rsidTr="00A215F8">
        <w:trPr>
          <w:trHeight w:val="520"/>
        </w:trPr>
        <w:tc>
          <w:tcPr>
            <w:tcW w:w="1260" w:type="dxa"/>
            <w:shd w:val="clear" w:color="auto" w:fill="E7E6E6" w:themeFill="background2"/>
            <w:vAlign w:val="center"/>
          </w:tcPr>
          <w:p w14:paraId="795061AE" w14:textId="77777777" w:rsidR="00E85060" w:rsidRPr="00AC0BD6" w:rsidRDefault="00E85060" w:rsidP="00A215F8">
            <w:pPr>
              <w:jc w:val="center"/>
              <w:rPr>
                <w:szCs w:val="23"/>
              </w:rPr>
            </w:pPr>
            <w:r w:rsidRPr="00AC0BD6">
              <w:rPr>
                <w:b/>
                <w:bCs/>
                <w:szCs w:val="23"/>
              </w:rPr>
              <w:t>Running cost</w:t>
            </w:r>
          </w:p>
        </w:tc>
        <w:tc>
          <w:tcPr>
            <w:tcW w:w="3420" w:type="dxa"/>
            <w:vAlign w:val="center"/>
          </w:tcPr>
          <w:p w14:paraId="1BC0366A" w14:textId="77777777" w:rsidR="00E85060" w:rsidRPr="00C76985" w:rsidRDefault="00E85060" w:rsidP="00A215F8">
            <w:pPr>
              <w:jc w:val="center"/>
              <w:rPr>
                <w:szCs w:val="23"/>
              </w:rPr>
            </w:pPr>
            <w:r>
              <w:rPr>
                <w:szCs w:val="23"/>
              </w:rPr>
              <w:t>$150 M/year</w:t>
            </w:r>
          </w:p>
        </w:tc>
        <w:tc>
          <w:tcPr>
            <w:tcW w:w="1260" w:type="dxa"/>
            <w:shd w:val="clear" w:color="auto" w:fill="E7E6E6" w:themeFill="background2"/>
            <w:vAlign w:val="center"/>
          </w:tcPr>
          <w:p w14:paraId="37F4510E" w14:textId="77777777" w:rsidR="00E85060" w:rsidRPr="00AC0BD6" w:rsidRDefault="00E85060" w:rsidP="00A215F8">
            <w:pPr>
              <w:jc w:val="center"/>
              <w:rPr>
                <w:szCs w:val="23"/>
              </w:rPr>
            </w:pPr>
            <w:r w:rsidRPr="00AC0BD6">
              <w:rPr>
                <w:b/>
                <w:bCs/>
                <w:szCs w:val="23"/>
              </w:rPr>
              <w:t>Running cost</w:t>
            </w:r>
          </w:p>
        </w:tc>
        <w:tc>
          <w:tcPr>
            <w:tcW w:w="3415" w:type="dxa"/>
            <w:vAlign w:val="center"/>
          </w:tcPr>
          <w:p w14:paraId="32D66A0B" w14:textId="77777777" w:rsidR="00E85060" w:rsidRPr="00C76985" w:rsidRDefault="00E85060" w:rsidP="00A215F8">
            <w:pPr>
              <w:jc w:val="center"/>
              <w:rPr>
                <w:szCs w:val="23"/>
              </w:rPr>
            </w:pPr>
            <w:r>
              <w:rPr>
                <w:szCs w:val="23"/>
              </w:rPr>
              <w:t>$150 M/year</w:t>
            </w:r>
          </w:p>
        </w:tc>
      </w:tr>
    </w:tbl>
    <w:p w14:paraId="0E8FD450" w14:textId="77777777" w:rsidR="00E85060" w:rsidRDefault="00E85060" w:rsidP="00DC7C55"/>
    <w:p w14:paraId="250952DD" w14:textId="35060BCF" w:rsidR="003D323E" w:rsidRDefault="00E85060" w:rsidP="00DC7C55">
      <w:r>
        <w:t xml:space="preserve">Finally, </w:t>
      </w:r>
      <w:r w:rsidR="00620146">
        <w:t xml:space="preserve">the </w:t>
      </w:r>
      <w:r w:rsidR="00EA4544">
        <w:t xml:space="preserve">best combination of three actions can achieve at least 95% of the value of the most efficient portfolio. In other words, </w:t>
      </w:r>
      <w:r w:rsidR="00581647">
        <w:t>a</w:t>
      </w:r>
      <w:r w:rsidR="00EA4544">
        <w:t xml:space="preserve"> minority of actions </w:t>
      </w:r>
      <w:r w:rsidR="00581647">
        <w:t xml:space="preserve">can </w:t>
      </w:r>
      <w:r w:rsidR="00EA4544">
        <w:t xml:space="preserve">address the majority of the risk. </w:t>
      </w:r>
      <w:r w:rsidR="00951D83">
        <w:t>Additionally, despite each action hav</w:t>
      </w:r>
      <w:r w:rsidR="00581647">
        <w:t>ing positive</w:t>
      </w:r>
      <w:r w:rsidR="00951D83">
        <w:t xml:space="preserve"> individual</w:t>
      </w:r>
      <w:r w:rsidR="00581647">
        <w:t xml:space="preserve"> net</w:t>
      </w:r>
      <w:r w:rsidR="00951D83">
        <w:t xml:space="preserve"> benefits, </w:t>
      </w:r>
      <w:r w:rsidR="00D67B6B">
        <w:t xml:space="preserve">all assessments exhibited </w:t>
      </w:r>
      <w:r w:rsidR="00D67B6B">
        <w:rPr>
          <w:color w:val="000000" w:themeColor="text1"/>
        </w:rPr>
        <w:t xml:space="preserve">diminishing marginal returns to spending on more sustainability actions. This means that the most efficient portfolios excluded </w:t>
      </w:r>
      <w:r w:rsidR="005E1759">
        <w:rPr>
          <w:color w:val="000000" w:themeColor="text1"/>
        </w:rPr>
        <w:t>other potential actions</w:t>
      </w:r>
      <w:r w:rsidR="00134565">
        <w:rPr>
          <w:color w:val="000000" w:themeColor="text1"/>
        </w:rPr>
        <w:t>.</w:t>
      </w:r>
      <w:r w:rsidR="00C74E25">
        <w:rPr>
          <w:color w:val="000000" w:themeColor="text1"/>
        </w:rPr>
        <w:t xml:space="preserve"> This implies that </w:t>
      </w:r>
      <w:r w:rsidR="00C74E25">
        <w:t>a “peanut butter spread” to investing in space sustainability capabilities may be counterproductive. For a rational actor with a fixed budget, it may be more efficient to pick a portfolio of a few capabilities and allocate greater budget share to them. This study suggests that as few as 1–3 capabilities may be sufficient, and that efficient actions with low substitution should be prioritized.</w:t>
      </w:r>
    </w:p>
    <w:p w14:paraId="4F80E5F8" w14:textId="12B6A7B0" w:rsidR="00DC7C55" w:rsidRPr="00DC7C55" w:rsidRDefault="00DC7C55" w:rsidP="00DC7C55">
      <w:pPr>
        <w:sectPr w:rsidR="00DC7C55" w:rsidRPr="00DC7C55" w:rsidSect="00D6267F">
          <w:footerReference w:type="default" r:id="rId9"/>
          <w:pgSz w:w="12240" w:h="15840"/>
          <w:pgMar w:top="927" w:right="1440" w:bottom="1233" w:left="1440" w:header="720" w:footer="720" w:gutter="0"/>
          <w:pgNumType w:fmt="lowerRoman" w:start="1"/>
          <w:cols w:space="720"/>
          <w:docGrid w:linePitch="360"/>
        </w:sectPr>
      </w:pPr>
    </w:p>
    <w:p w14:paraId="043E2D49" w14:textId="45BFF8D6" w:rsidR="0039681F" w:rsidRDefault="0039681F" w:rsidP="004B7D88">
      <w:pPr>
        <w:pStyle w:val="toc-header"/>
      </w:pPr>
      <w:bookmarkStart w:id="3" w:name="_Toc192166293"/>
      <w:r>
        <w:lastRenderedPageBreak/>
        <w:t>Table of Contents</w:t>
      </w:r>
      <w:bookmarkStart w:id="4" w:name="_Toc108445195"/>
      <w:bookmarkEnd w:id="3"/>
    </w:p>
    <w:sdt>
      <w:sdtPr>
        <w:rPr>
          <w:rFonts w:ascii="Helvetica Light" w:hAnsi="Helvetica Light" w:cstheme="minorBidi"/>
          <w:b w:val="0"/>
          <w:bCs w:val="0"/>
          <w:i/>
          <w:iCs w:val="0"/>
        </w:rPr>
        <w:id w:val="1152176840"/>
        <w:docPartObj>
          <w:docPartGallery w:val="Table of Contents"/>
          <w:docPartUnique/>
        </w:docPartObj>
      </w:sdtPr>
      <w:sdtEndPr>
        <w:rPr>
          <w:i w:val="0"/>
          <w:noProof/>
        </w:rPr>
      </w:sdtEndPr>
      <w:sdtContent>
        <w:p w14:paraId="2BFECF9A" w14:textId="097BEFF3" w:rsidR="00D653C3" w:rsidRDefault="0039681F">
          <w:pPr>
            <w:pStyle w:val="TOC1"/>
            <w:tabs>
              <w:tab w:val="right" w:pos="9350"/>
            </w:tabs>
            <w:rPr>
              <w:rFonts w:asciiTheme="minorHAnsi" w:eastAsiaTheme="minorEastAsia" w:hAnsiTheme="minorHAnsi" w:cstheme="minorBidi"/>
              <w:b w:val="0"/>
              <w:bCs w:val="0"/>
              <w:iCs w:val="0"/>
              <w:noProof/>
              <w:kern w:val="2"/>
              <w:sz w:val="24"/>
              <w14:ligatures w14:val="standardContextual"/>
            </w:rPr>
          </w:pPr>
          <w:r>
            <w:rPr>
              <w:rFonts w:ascii="Helvetica" w:hAnsi="Helvetica"/>
              <w:b w:val="0"/>
              <w:bCs w:val="0"/>
              <w:i/>
              <w:sz w:val="22"/>
              <w:szCs w:val="22"/>
            </w:rPr>
            <w:fldChar w:fldCharType="begin"/>
          </w:r>
          <w:r>
            <w:instrText xml:space="preserve"> TOC \o "1-3" \h \z \u </w:instrText>
          </w:r>
          <w:r>
            <w:rPr>
              <w:rFonts w:ascii="Helvetica" w:hAnsi="Helvetica"/>
              <w:b w:val="0"/>
              <w:bCs w:val="0"/>
              <w:i/>
              <w:sz w:val="22"/>
              <w:szCs w:val="22"/>
            </w:rPr>
            <w:fldChar w:fldCharType="separate"/>
          </w:r>
          <w:hyperlink w:anchor="_Toc192166290" w:history="1">
            <w:r w:rsidR="00D653C3" w:rsidRPr="0011385E">
              <w:rPr>
                <w:rStyle w:val="Hyperlink"/>
                <w:rFonts w:ascii="Helvetica" w:eastAsia="Helvetica" w:hAnsi="Helvetica" w:cs="Helvetica"/>
                <w:noProof/>
              </w:rPr>
              <w:t>Execu</w:t>
            </w:r>
            <w:r w:rsidR="00D653C3" w:rsidRPr="0011385E">
              <w:rPr>
                <w:rStyle w:val="Hyperlink"/>
                <w:noProof/>
              </w:rPr>
              <w:t>tive Summary</w:t>
            </w:r>
            <w:r w:rsidR="00D653C3">
              <w:rPr>
                <w:noProof/>
                <w:webHidden/>
              </w:rPr>
              <w:tab/>
            </w:r>
            <w:r w:rsidR="00D653C3">
              <w:rPr>
                <w:noProof/>
                <w:webHidden/>
              </w:rPr>
              <w:fldChar w:fldCharType="begin"/>
            </w:r>
            <w:r w:rsidR="00D653C3">
              <w:rPr>
                <w:noProof/>
                <w:webHidden/>
              </w:rPr>
              <w:instrText xml:space="preserve"> PAGEREF _Toc192166290 \h </w:instrText>
            </w:r>
            <w:r w:rsidR="00D653C3">
              <w:rPr>
                <w:noProof/>
                <w:webHidden/>
              </w:rPr>
            </w:r>
            <w:r w:rsidR="00D653C3">
              <w:rPr>
                <w:noProof/>
                <w:webHidden/>
              </w:rPr>
              <w:fldChar w:fldCharType="separate"/>
            </w:r>
            <w:r w:rsidR="001F0D0C">
              <w:rPr>
                <w:noProof/>
                <w:webHidden/>
              </w:rPr>
              <w:t>i</w:t>
            </w:r>
            <w:r w:rsidR="00D653C3">
              <w:rPr>
                <w:noProof/>
                <w:webHidden/>
              </w:rPr>
              <w:fldChar w:fldCharType="end"/>
            </w:r>
          </w:hyperlink>
        </w:p>
        <w:p w14:paraId="696F08F4" w14:textId="3A25CD90"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291" w:history="1">
            <w:r w:rsidR="00D653C3" w:rsidRPr="0011385E">
              <w:rPr>
                <w:rStyle w:val="Hyperlink"/>
                <w:noProof/>
              </w:rPr>
              <w:t>Purpose</w:t>
            </w:r>
            <w:r w:rsidR="00D653C3">
              <w:rPr>
                <w:noProof/>
                <w:webHidden/>
              </w:rPr>
              <w:tab/>
            </w:r>
            <w:r w:rsidR="00D653C3">
              <w:rPr>
                <w:noProof/>
                <w:webHidden/>
              </w:rPr>
              <w:fldChar w:fldCharType="begin"/>
            </w:r>
            <w:r w:rsidR="00D653C3">
              <w:rPr>
                <w:noProof/>
                <w:webHidden/>
              </w:rPr>
              <w:instrText xml:space="preserve"> PAGEREF _Toc192166291 \h </w:instrText>
            </w:r>
            <w:r w:rsidR="00D653C3">
              <w:rPr>
                <w:noProof/>
                <w:webHidden/>
              </w:rPr>
            </w:r>
            <w:r w:rsidR="00D653C3">
              <w:rPr>
                <w:noProof/>
                <w:webHidden/>
              </w:rPr>
              <w:fldChar w:fldCharType="separate"/>
            </w:r>
            <w:r w:rsidR="001F0D0C">
              <w:rPr>
                <w:noProof/>
                <w:webHidden/>
              </w:rPr>
              <w:t>i</w:t>
            </w:r>
            <w:r w:rsidR="00D653C3">
              <w:rPr>
                <w:noProof/>
                <w:webHidden/>
              </w:rPr>
              <w:fldChar w:fldCharType="end"/>
            </w:r>
          </w:hyperlink>
        </w:p>
        <w:p w14:paraId="63B779D1" w14:textId="16F24934"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292" w:history="1">
            <w:r w:rsidR="00D653C3" w:rsidRPr="0011385E">
              <w:rPr>
                <w:rStyle w:val="Hyperlink"/>
                <w:noProof/>
              </w:rPr>
              <w:t>Key Findings</w:t>
            </w:r>
            <w:r w:rsidR="00D653C3">
              <w:rPr>
                <w:noProof/>
                <w:webHidden/>
              </w:rPr>
              <w:tab/>
            </w:r>
            <w:r w:rsidR="00D653C3">
              <w:rPr>
                <w:noProof/>
                <w:webHidden/>
              </w:rPr>
              <w:fldChar w:fldCharType="begin"/>
            </w:r>
            <w:r w:rsidR="00D653C3">
              <w:rPr>
                <w:noProof/>
                <w:webHidden/>
              </w:rPr>
              <w:instrText xml:space="preserve"> PAGEREF _Toc192166292 \h </w:instrText>
            </w:r>
            <w:r w:rsidR="00D653C3">
              <w:rPr>
                <w:noProof/>
                <w:webHidden/>
              </w:rPr>
            </w:r>
            <w:r w:rsidR="00D653C3">
              <w:rPr>
                <w:noProof/>
                <w:webHidden/>
              </w:rPr>
              <w:fldChar w:fldCharType="separate"/>
            </w:r>
            <w:r w:rsidR="001F0D0C">
              <w:rPr>
                <w:noProof/>
                <w:webHidden/>
              </w:rPr>
              <w:t>i</w:t>
            </w:r>
            <w:r w:rsidR="00D653C3">
              <w:rPr>
                <w:noProof/>
                <w:webHidden/>
              </w:rPr>
              <w:fldChar w:fldCharType="end"/>
            </w:r>
          </w:hyperlink>
        </w:p>
        <w:p w14:paraId="10C92676" w14:textId="5938699C"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293" w:history="1">
            <w:r w:rsidR="00D653C3" w:rsidRPr="0011385E">
              <w:rPr>
                <w:rStyle w:val="Hyperlink"/>
                <w:noProof/>
              </w:rPr>
              <w:t>Table of Contents</w:t>
            </w:r>
            <w:r w:rsidR="00D653C3">
              <w:rPr>
                <w:noProof/>
                <w:webHidden/>
              </w:rPr>
              <w:tab/>
            </w:r>
            <w:r w:rsidR="00D653C3">
              <w:rPr>
                <w:noProof/>
                <w:webHidden/>
              </w:rPr>
              <w:fldChar w:fldCharType="begin"/>
            </w:r>
            <w:r w:rsidR="00D653C3">
              <w:rPr>
                <w:noProof/>
                <w:webHidden/>
              </w:rPr>
              <w:instrText xml:space="preserve"> PAGEREF _Toc192166293 \h </w:instrText>
            </w:r>
            <w:r w:rsidR="00D653C3">
              <w:rPr>
                <w:noProof/>
                <w:webHidden/>
              </w:rPr>
            </w:r>
            <w:r w:rsidR="00D653C3">
              <w:rPr>
                <w:noProof/>
                <w:webHidden/>
              </w:rPr>
              <w:fldChar w:fldCharType="separate"/>
            </w:r>
            <w:r w:rsidR="001F0D0C">
              <w:rPr>
                <w:noProof/>
                <w:webHidden/>
              </w:rPr>
              <w:t>iii</w:t>
            </w:r>
            <w:r w:rsidR="00D653C3">
              <w:rPr>
                <w:noProof/>
                <w:webHidden/>
              </w:rPr>
              <w:fldChar w:fldCharType="end"/>
            </w:r>
          </w:hyperlink>
        </w:p>
        <w:p w14:paraId="0FD5470D" w14:textId="63D71DB0"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294" w:history="1">
            <w:r w:rsidR="00D653C3" w:rsidRPr="0011385E">
              <w:rPr>
                <w:rStyle w:val="Hyperlink"/>
                <w:noProof/>
              </w:rPr>
              <w:t>Purpose and Scope</w:t>
            </w:r>
            <w:r w:rsidR="00D653C3">
              <w:rPr>
                <w:noProof/>
                <w:webHidden/>
              </w:rPr>
              <w:tab/>
            </w:r>
            <w:r w:rsidR="00D653C3">
              <w:rPr>
                <w:noProof/>
                <w:webHidden/>
              </w:rPr>
              <w:fldChar w:fldCharType="begin"/>
            </w:r>
            <w:r w:rsidR="00D653C3">
              <w:rPr>
                <w:noProof/>
                <w:webHidden/>
              </w:rPr>
              <w:instrText xml:space="preserve"> PAGEREF _Toc192166294 \h </w:instrText>
            </w:r>
            <w:r w:rsidR="00D653C3">
              <w:rPr>
                <w:noProof/>
                <w:webHidden/>
              </w:rPr>
            </w:r>
            <w:r w:rsidR="00D653C3">
              <w:rPr>
                <w:noProof/>
                <w:webHidden/>
              </w:rPr>
              <w:fldChar w:fldCharType="separate"/>
            </w:r>
            <w:r w:rsidR="001F0D0C">
              <w:rPr>
                <w:noProof/>
                <w:webHidden/>
              </w:rPr>
              <w:t>5</w:t>
            </w:r>
            <w:r w:rsidR="00D653C3">
              <w:rPr>
                <w:noProof/>
                <w:webHidden/>
              </w:rPr>
              <w:fldChar w:fldCharType="end"/>
            </w:r>
          </w:hyperlink>
        </w:p>
        <w:p w14:paraId="04136A75" w14:textId="2581F7B0"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295" w:history="1">
            <w:r w:rsidR="00D653C3" w:rsidRPr="0011385E">
              <w:rPr>
                <w:rStyle w:val="Hyperlink"/>
                <w:noProof/>
              </w:rPr>
              <w:t>Methodology</w:t>
            </w:r>
            <w:r w:rsidR="00D653C3">
              <w:rPr>
                <w:noProof/>
                <w:webHidden/>
              </w:rPr>
              <w:tab/>
            </w:r>
            <w:r w:rsidR="00D653C3">
              <w:rPr>
                <w:noProof/>
                <w:webHidden/>
              </w:rPr>
              <w:fldChar w:fldCharType="begin"/>
            </w:r>
            <w:r w:rsidR="00D653C3">
              <w:rPr>
                <w:noProof/>
                <w:webHidden/>
              </w:rPr>
              <w:instrText xml:space="preserve"> PAGEREF _Toc192166295 \h </w:instrText>
            </w:r>
            <w:r w:rsidR="00D653C3">
              <w:rPr>
                <w:noProof/>
                <w:webHidden/>
              </w:rPr>
            </w:r>
            <w:r w:rsidR="00D653C3">
              <w:rPr>
                <w:noProof/>
                <w:webHidden/>
              </w:rPr>
              <w:fldChar w:fldCharType="separate"/>
            </w:r>
            <w:r w:rsidR="001F0D0C">
              <w:rPr>
                <w:noProof/>
                <w:webHidden/>
              </w:rPr>
              <w:t>7</w:t>
            </w:r>
            <w:r w:rsidR="00D653C3">
              <w:rPr>
                <w:noProof/>
                <w:webHidden/>
              </w:rPr>
              <w:fldChar w:fldCharType="end"/>
            </w:r>
          </w:hyperlink>
        </w:p>
        <w:p w14:paraId="77E7CED6" w14:textId="75A03D81"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296" w:history="1">
            <w:r w:rsidR="00D653C3" w:rsidRPr="0011385E">
              <w:rPr>
                <w:rStyle w:val="Hyperlink"/>
                <w:noProof/>
              </w:rPr>
              <w:t>Calculating the value of a portfolio</w:t>
            </w:r>
            <w:r w:rsidR="00D653C3">
              <w:rPr>
                <w:noProof/>
                <w:webHidden/>
              </w:rPr>
              <w:tab/>
            </w:r>
            <w:r w:rsidR="00D653C3">
              <w:rPr>
                <w:noProof/>
                <w:webHidden/>
              </w:rPr>
              <w:fldChar w:fldCharType="begin"/>
            </w:r>
            <w:r w:rsidR="00D653C3">
              <w:rPr>
                <w:noProof/>
                <w:webHidden/>
              </w:rPr>
              <w:instrText xml:space="preserve"> PAGEREF _Toc192166296 \h </w:instrText>
            </w:r>
            <w:r w:rsidR="00D653C3">
              <w:rPr>
                <w:noProof/>
                <w:webHidden/>
              </w:rPr>
            </w:r>
            <w:r w:rsidR="00D653C3">
              <w:rPr>
                <w:noProof/>
                <w:webHidden/>
              </w:rPr>
              <w:fldChar w:fldCharType="separate"/>
            </w:r>
            <w:r w:rsidR="001F0D0C">
              <w:rPr>
                <w:noProof/>
                <w:webHidden/>
              </w:rPr>
              <w:t>7</w:t>
            </w:r>
            <w:r w:rsidR="00D653C3">
              <w:rPr>
                <w:noProof/>
                <w:webHidden/>
              </w:rPr>
              <w:fldChar w:fldCharType="end"/>
            </w:r>
          </w:hyperlink>
        </w:p>
        <w:p w14:paraId="12F6DAC3" w14:textId="6A2BC79D"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297" w:history="1">
            <w:r w:rsidR="00D653C3" w:rsidRPr="0011385E">
              <w:rPr>
                <w:rStyle w:val="Hyperlink"/>
                <w:noProof/>
              </w:rPr>
              <w:t>Landscape of actions</w:t>
            </w:r>
            <w:r w:rsidR="00D653C3">
              <w:rPr>
                <w:noProof/>
                <w:webHidden/>
              </w:rPr>
              <w:tab/>
            </w:r>
            <w:r w:rsidR="00D653C3">
              <w:rPr>
                <w:noProof/>
                <w:webHidden/>
              </w:rPr>
              <w:fldChar w:fldCharType="begin"/>
            </w:r>
            <w:r w:rsidR="00D653C3">
              <w:rPr>
                <w:noProof/>
                <w:webHidden/>
              </w:rPr>
              <w:instrText xml:space="preserve"> PAGEREF _Toc192166297 \h </w:instrText>
            </w:r>
            <w:r w:rsidR="00D653C3">
              <w:rPr>
                <w:noProof/>
                <w:webHidden/>
              </w:rPr>
            </w:r>
            <w:r w:rsidR="00D653C3">
              <w:rPr>
                <w:noProof/>
                <w:webHidden/>
              </w:rPr>
              <w:fldChar w:fldCharType="separate"/>
            </w:r>
            <w:r w:rsidR="001F0D0C">
              <w:rPr>
                <w:noProof/>
                <w:webHidden/>
              </w:rPr>
              <w:t>8</w:t>
            </w:r>
            <w:r w:rsidR="00D653C3">
              <w:rPr>
                <w:noProof/>
                <w:webHidden/>
              </w:rPr>
              <w:fldChar w:fldCharType="end"/>
            </w:r>
          </w:hyperlink>
        </w:p>
        <w:p w14:paraId="2333176D" w14:textId="09A3EBDD"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298" w:history="1">
            <w:r w:rsidR="00D653C3" w:rsidRPr="0011385E">
              <w:rPr>
                <w:rStyle w:val="Hyperlink"/>
                <w:noProof/>
              </w:rPr>
              <w:t>Calculating the benefits of space sustainability actions</w:t>
            </w:r>
            <w:r w:rsidR="00D653C3">
              <w:rPr>
                <w:noProof/>
                <w:webHidden/>
              </w:rPr>
              <w:tab/>
            </w:r>
            <w:r w:rsidR="00D653C3">
              <w:rPr>
                <w:noProof/>
                <w:webHidden/>
              </w:rPr>
              <w:fldChar w:fldCharType="begin"/>
            </w:r>
            <w:r w:rsidR="00D653C3">
              <w:rPr>
                <w:noProof/>
                <w:webHidden/>
              </w:rPr>
              <w:instrText xml:space="preserve"> PAGEREF _Toc192166298 \h </w:instrText>
            </w:r>
            <w:r w:rsidR="00D653C3">
              <w:rPr>
                <w:noProof/>
                <w:webHidden/>
              </w:rPr>
            </w:r>
            <w:r w:rsidR="00D653C3">
              <w:rPr>
                <w:noProof/>
                <w:webHidden/>
              </w:rPr>
              <w:fldChar w:fldCharType="separate"/>
            </w:r>
            <w:r w:rsidR="001F0D0C">
              <w:rPr>
                <w:noProof/>
                <w:webHidden/>
              </w:rPr>
              <w:t>12</w:t>
            </w:r>
            <w:r w:rsidR="00D653C3">
              <w:rPr>
                <w:noProof/>
                <w:webHidden/>
              </w:rPr>
              <w:fldChar w:fldCharType="end"/>
            </w:r>
          </w:hyperlink>
        </w:p>
        <w:p w14:paraId="7A1666FE" w14:textId="32E7DBEF"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299" w:history="1">
            <w:r w:rsidR="00D653C3" w:rsidRPr="0011385E">
              <w:rPr>
                <w:rStyle w:val="Hyperlink"/>
                <w:noProof/>
              </w:rPr>
              <w:t>Up-front costs, running costs, and time-to-value</w:t>
            </w:r>
            <w:r w:rsidR="00D653C3">
              <w:rPr>
                <w:noProof/>
                <w:webHidden/>
              </w:rPr>
              <w:tab/>
            </w:r>
            <w:r w:rsidR="00D653C3">
              <w:rPr>
                <w:noProof/>
                <w:webHidden/>
              </w:rPr>
              <w:fldChar w:fldCharType="begin"/>
            </w:r>
            <w:r w:rsidR="00D653C3">
              <w:rPr>
                <w:noProof/>
                <w:webHidden/>
              </w:rPr>
              <w:instrText xml:space="preserve"> PAGEREF _Toc192166299 \h </w:instrText>
            </w:r>
            <w:r w:rsidR="00D653C3">
              <w:rPr>
                <w:noProof/>
                <w:webHidden/>
              </w:rPr>
            </w:r>
            <w:r w:rsidR="00D653C3">
              <w:rPr>
                <w:noProof/>
                <w:webHidden/>
              </w:rPr>
              <w:fldChar w:fldCharType="separate"/>
            </w:r>
            <w:r w:rsidR="001F0D0C">
              <w:rPr>
                <w:noProof/>
                <w:webHidden/>
              </w:rPr>
              <w:t>14</w:t>
            </w:r>
            <w:r w:rsidR="00D653C3">
              <w:rPr>
                <w:noProof/>
                <w:webHidden/>
              </w:rPr>
              <w:fldChar w:fldCharType="end"/>
            </w:r>
          </w:hyperlink>
        </w:p>
        <w:p w14:paraId="487A1988" w14:textId="3FC6F50D"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00" w:history="1">
            <w:r w:rsidR="00D653C3" w:rsidRPr="0011385E">
              <w:rPr>
                <w:rStyle w:val="Hyperlink"/>
                <w:noProof/>
              </w:rPr>
              <w:t>Discounting and the timing of costs and benefits</w:t>
            </w:r>
            <w:r w:rsidR="00D653C3">
              <w:rPr>
                <w:noProof/>
                <w:webHidden/>
              </w:rPr>
              <w:tab/>
            </w:r>
            <w:r w:rsidR="00D653C3">
              <w:rPr>
                <w:noProof/>
                <w:webHidden/>
              </w:rPr>
              <w:fldChar w:fldCharType="begin"/>
            </w:r>
            <w:r w:rsidR="00D653C3">
              <w:rPr>
                <w:noProof/>
                <w:webHidden/>
              </w:rPr>
              <w:instrText xml:space="preserve"> PAGEREF _Toc192166300 \h </w:instrText>
            </w:r>
            <w:r w:rsidR="00D653C3">
              <w:rPr>
                <w:noProof/>
                <w:webHidden/>
              </w:rPr>
            </w:r>
            <w:r w:rsidR="00D653C3">
              <w:rPr>
                <w:noProof/>
                <w:webHidden/>
              </w:rPr>
              <w:fldChar w:fldCharType="separate"/>
            </w:r>
            <w:r w:rsidR="001F0D0C">
              <w:rPr>
                <w:noProof/>
                <w:webHidden/>
              </w:rPr>
              <w:t>17</w:t>
            </w:r>
            <w:r w:rsidR="00D653C3">
              <w:rPr>
                <w:noProof/>
                <w:webHidden/>
              </w:rPr>
              <w:fldChar w:fldCharType="end"/>
            </w:r>
          </w:hyperlink>
        </w:p>
        <w:p w14:paraId="0F32489B" w14:textId="6035BDC3"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301" w:history="1">
            <w:r w:rsidR="00D653C3" w:rsidRPr="0011385E">
              <w:rPr>
                <w:rStyle w:val="Hyperlink"/>
                <w:noProof/>
              </w:rPr>
              <w:t>Results</w:t>
            </w:r>
            <w:r w:rsidR="00D653C3">
              <w:rPr>
                <w:noProof/>
                <w:webHidden/>
              </w:rPr>
              <w:tab/>
            </w:r>
            <w:r w:rsidR="00D653C3">
              <w:rPr>
                <w:noProof/>
                <w:webHidden/>
              </w:rPr>
              <w:fldChar w:fldCharType="begin"/>
            </w:r>
            <w:r w:rsidR="00D653C3">
              <w:rPr>
                <w:noProof/>
                <w:webHidden/>
              </w:rPr>
              <w:instrText xml:space="preserve"> PAGEREF _Toc192166301 \h </w:instrText>
            </w:r>
            <w:r w:rsidR="00D653C3">
              <w:rPr>
                <w:noProof/>
                <w:webHidden/>
              </w:rPr>
            </w:r>
            <w:r w:rsidR="00D653C3">
              <w:rPr>
                <w:noProof/>
                <w:webHidden/>
              </w:rPr>
              <w:fldChar w:fldCharType="separate"/>
            </w:r>
            <w:r w:rsidR="001F0D0C">
              <w:rPr>
                <w:noProof/>
                <w:webHidden/>
              </w:rPr>
              <w:t>20</w:t>
            </w:r>
            <w:r w:rsidR="00D653C3">
              <w:rPr>
                <w:noProof/>
                <w:webHidden/>
              </w:rPr>
              <w:fldChar w:fldCharType="end"/>
            </w:r>
          </w:hyperlink>
        </w:p>
        <w:p w14:paraId="17181FC1" w14:textId="75062F27"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02" w:history="1">
            <w:r w:rsidR="00D653C3" w:rsidRPr="0011385E">
              <w:rPr>
                <w:rStyle w:val="Hyperlink"/>
                <w:noProof/>
              </w:rPr>
              <w:t>Net benefits of individual actions</w:t>
            </w:r>
            <w:r w:rsidR="00D653C3">
              <w:rPr>
                <w:noProof/>
                <w:webHidden/>
              </w:rPr>
              <w:tab/>
            </w:r>
            <w:r w:rsidR="00D653C3">
              <w:rPr>
                <w:noProof/>
                <w:webHidden/>
              </w:rPr>
              <w:fldChar w:fldCharType="begin"/>
            </w:r>
            <w:r w:rsidR="00D653C3">
              <w:rPr>
                <w:noProof/>
                <w:webHidden/>
              </w:rPr>
              <w:instrText xml:space="preserve"> PAGEREF _Toc192166302 \h </w:instrText>
            </w:r>
            <w:r w:rsidR="00D653C3">
              <w:rPr>
                <w:noProof/>
                <w:webHidden/>
              </w:rPr>
            </w:r>
            <w:r w:rsidR="00D653C3">
              <w:rPr>
                <w:noProof/>
                <w:webHidden/>
              </w:rPr>
              <w:fldChar w:fldCharType="separate"/>
            </w:r>
            <w:r w:rsidR="001F0D0C">
              <w:rPr>
                <w:noProof/>
                <w:webHidden/>
              </w:rPr>
              <w:t>20</w:t>
            </w:r>
            <w:r w:rsidR="00D653C3">
              <w:rPr>
                <w:noProof/>
                <w:webHidden/>
              </w:rPr>
              <w:fldChar w:fldCharType="end"/>
            </w:r>
          </w:hyperlink>
        </w:p>
        <w:p w14:paraId="1386E07E" w14:textId="3D94CFA9"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03" w:history="1">
            <w:r w:rsidR="00D653C3" w:rsidRPr="0011385E">
              <w:rPr>
                <w:rStyle w:val="Hyperlink"/>
                <w:noProof/>
              </w:rPr>
              <w:t>Interactions from combining two actions</w:t>
            </w:r>
            <w:r w:rsidR="00D653C3">
              <w:rPr>
                <w:noProof/>
                <w:webHidden/>
              </w:rPr>
              <w:tab/>
            </w:r>
            <w:r w:rsidR="00D653C3">
              <w:rPr>
                <w:noProof/>
                <w:webHidden/>
              </w:rPr>
              <w:fldChar w:fldCharType="begin"/>
            </w:r>
            <w:r w:rsidR="00D653C3">
              <w:rPr>
                <w:noProof/>
                <w:webHidden/>
              </w:rPr>
              <w:instrText xml:space="preserve"> PAGEREF _Toc192166303 \h </w:instrText>
            </w:r>
            <w:r w:rsidR="00D653C3">
              <w:rPr>
                <w:noProof/>
                <w:webHidden/>
              </w:rPr>
            </w:r>
            <w:r w:rsidR="00D653C3">
              <w:rPr>
                <w:noProof/>
                <w:webHidden/>
              </w:rPr>
              <w:fldChar w:fldCharType="separate"/>
            </w:r>
            <w:r w:rsidR="001F0D0C">
              <w:rPr>
                <w:noProof/>
                <w:webHidden/>
              </w:rPr>
              <w:t>22</w:t>
            </w:r>
            <w:r w:rsidR="00D653C3">
              <w:rPr>
                <w:noProof/>
                <w:webHidden/>
              </w:rPr>
              <w:fldChar w:fldCharType="end"/>
            </w:r>
          </w:hyperlink>
        </w:p>
        <w:p w14:paraId="385F1026" w14:textId="48D32069"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04" w:history="1">
            <w:r w:rsidR="00D653C3" w:rsidRPr="0011385E">
              <w:rPr>
                <w:rStyle w:val="Hyperlink"/>
                <w:noProof/>
              </w:rPr>
              <w:t>Efficient space sustainability portfolios</w:t>
            </w:r>
            <w:r w:rsidR="00D653C3">
              <w:rPr>
                <w:noProof/>
                <w:webHidden/>
              </w:rPr>
              <w:tab/>
            </w:r>
            <w:r w:rsidR="00D653C3">
              <w:rPr>
                <w:noProof/>
                <w:webHidden/>
              </w:rPr>
              <w:fldChar w:fldCharType="begin"/>
            </w:r>
            <w:r w:rsidR="00D653C3">
              <w:rPr>
                <w:noProof/>
                <w:webHidden/>
              </w:rPr>
              <w:instrText xml:space="preserve"> PAGEREF _Toc192166304 \h </w:instrText>
            </w:r>
            <w:r w:rsidR="00D653C3">
              <w:rPr>
                <w:noProof/>
                <w:webHidden/>
              </w:rPr>
            </w:r>
            <w:r w:rsidR="00D653C3">
              <w:rPr>
                <w:noProof/>
                <w:webHidden/>
              </w:rPr>
              <w:fldChar w:fldCharType="separate"/>
            </w:r>
            <w:r w:rsidR="001F0D0C">
              <w:rPr>
                <w:noProof/>
                <w:webHidden/>
              </w:rPr>
              <w:t>25</w:t>
            </w:r>
            <w:r w:rsidR="00D653C3">
              <w:rPr>
                <w:noProof/>
                <w:webHidden/>
              </w:rPr>
              <w:fldChar w:fldCharType="end"/>
            </w:r>
          </w:hyperlink>
        </w:p>
        <w:p w14:paraId="31FB5B7F" w14:textId="1F6FF236"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05" w:history="1">
            <w:r w:rsidR="00D653C3" w:rsidRPr="0011385E">
              <w:rPr>
                <w:rStyle w:val="Hyperlink"/>
                <w:noProof/>
              </w:rPr>
              <w:t>Robustness to delays</w:t>
            </w:r>
            <w:r w:rsidR="00D653C3">
              <w:rPr>
                <w:noProof/>
                <w:webHidden/>
              </w:rPr>
              <w:tab/>
            </w:r>
            <w:r w:rsidR="00D653C3">
              <w:rPr>
                <w:noProof/>
                <w:webHidden/>
              </w:rPr>
              <w:fldChar w:fldCharType="begin"/>
            </w:r>
            <w:r w:rsidR="00D653C3">
              <w:rPr>
                <w:noProof/>
                <w:webHidden/>
              </w:rPr>
              <w:instrText xml:space="preserve"> PAGEREF _Toc192166305 \h </w:instrText>
            </w:r>
            <w:r w:rsidR="00D653C3">
              <w:rPr>
                <w:noProof/>
                <w:webHidden/>
              </w:rPr>
            </w:r>
            <w:r w:rsidR="00D653C3">
              <w:rPr>
                <w:noProof/>
                <w:webHidden/>
              </w:rPr>
              <w:fldChar w:fldCharType="separate"/>
            </w:r>
            <w:r w:rsidR="001F0D0C">
              <w:rPr>
                <w:noProof/>
                <w:webHidden/>
              </w:rPr>
              <w:t>29</w:t>
            </w:r>
            <w:r w:rsidR="00D653C3">
              <w:rPr>
                <w:noProof/>
                <w:webHidden/>
              </w:rPr>
              <w:fldChar w:fldCharType="end"/>
            </w:r>
          </w:hyperlink>
        </w:p>
        <w:p w14:paraId="12F1DAE0" w14:textId="6E17DFCE"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306" w:history="1">
            <w:r w:rsidR="00D653C3" w:rsidRPr="0011385E">
              <w:rPr>
                <w:rStyle w:val="Hyperlink"/>
                <w:noProof/>
              </w:rPr>
              <w:t>Summary and Conclusions</w:t>
            </w:r>
            <w:r w:rsidR="00D653C3">
              <w:rPr>
                <w:noProof/>
                <w:webHidden/>
              </w:rPr>
              <w:tab/>
            </w:r>
            <w:r w:rsidR="00D653C3">
              <w:rPr>
                <w:noProof/>
                <w:webHidden/>
              </w:rPr>
              <w:fldChar w:fldCharType="begin"/>
            </w:r>
            <w:r w:rsidR="00D653C3">
              <w:rPr>
                <w:noProof/>
                <w:webHidden/>
              </w:rPr>
              <w:instrText xml:space="preserve"> PAGEREF _Toc192166306 \h </w:instrText>
            </w:r>
            <w:r w:rsidR="00D653C3">
              <w:rPr>
                <w:noProof/>
                <w:webHidden/>
              </w:rPr>
            </w:r>
            <w:r w:rsidR="00D653C3">
              <w:rPr>
                <w:noProof/>
                <w:webHidden/>
              </w:rPr>
              <w:fldChar w:fldCharType="separate"/>
            </w:r>
            <w:r w:rsidR="001F0D0C">
              <w:rPr>
                <w:noProof/>
                <w:webHidden/>
              </w:rPr>
              <w:t>34</w:t>
            </w:r>
            <w:r w:rsidR="00D653C3">
              <w:rPr>
                <w:noProof/>
                <w:webHidden/>
              </w:rPr>
              <w:fldChar w:fldCharType="end"/>
            </w:r>
          </w:hyperlink>
        </w:p>
        <w:p w14:paraId="63667EA4" w14:textId="6D40198C"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07" w:history="1">
            <w:r w:rsidR="00D653C3" w:rsidRPr="0011385E">
              <w:rPr>
                <w:rStyle w:val="Hyperlink"/>
                <w:noProof/>
              </w:rPr>
              <w:t>Potential next steps</w:t>
            </w:r>
            <w:r w:rsidR="00D653C3">
              <w:rPr>
                <w:noProof/>
                <w:webHidden/>
              </w:rPr>
              <w:tab/>
            </w:r>
            <w:r w:rsidR="00D653C3">
              <w:rPr>
                <w:noProof/>
                <w:webHidden/>
              </w:rPr>
              <w:fldChar w:fldCharType="begin"/>
            </w:r>
            <w:r w:rsidR="00D653C3">
              <w:rPr>
                <w:noProof/>
                <w:webHidden/>
              </w:rPr>
              <w:instrText xml:space="preserve"> PAGEREF _Toc192166307 \h </w:instrText>
            </w:r>
            <w:r w:rsidR="00D653C3">
              <w:rPr>
                <w:noProof/>
                <w:webHidden/>
              </w:rPr>
            </w:r>
            <w:r w:rsidR="00D653C3">
              <w:rPr>
                <w:noProof/>
                <w:webHidden/>
              </w:rPr>
              <w:fldChar w:fldCharType="separate"/>
            </w:r>
            <w:r w:rsidR="001F0D0C">
              <w:rPr>
                <w:noProof/>
                <w:webHidden/>
              </w:rPr>
              <w:t>35</w:t>
            </w:r>
            <w:r w:rsidR="00D653C3">
              <w:rPr>
                <w:noProof/>
                <w:webHidden/>
              </w:rPr>
              <w:fldChar w:fldCharType="end"/>
            </w:r>
          </w:hyperlink>
        </w:p>
        <w:p w14:paraId="6E154D6A" w14:textId="42CB23A0"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08" w:history="1">
            <w:r w:rsidR="00D653C3" w:rsidRPr="0011385E">
              <w:rPr>
                <w:rStyle w:val="Hyperlink"/>
                <w:noProof/>
              </w:rPr>
              <w:t>Higher fidelity on up-front costs, recurring costs, and times-to-value</w:t>
            </w:r>
            <w:r w:rsidR="00D653C3">
              <w:rPr>
                <w:noProof/>
                <w:webHidden/>
              </w:rPr>
              <w:tab/>
            </w:r>
            <w:r w:rsidR="00D653C3">
              <w:rPr>
                <w:noProof/>
                <w:webHidden/>
              </w:rPr>
              <w:fldChar w:fldCharType="begin"/>
            </w:r>
            <w:r w:rsidR="00D653C3">
              <w:rPr>
                <w:noProof/>
                <w:webHidden/>
              </w:rPr>
              <w:instrText xml:space="preserve"> PAGEREF _Toc192166308 \h </w:instrText>
            </w:r>
            <w:r w:rsidR="00D653C3">
              <w:rPr>
                <w:noProof/>
                <w:webHidden/>
              </w:rPr>
            </w:r>
            <w:r w:rsidR="00D653C3">
              <w:rPr>
                <w:noProof/>
                <w:webHidden/>
              </w:rPr>
              <w:fldChar w:fldCharType="separate"/>
            </w:r>
            <w:r w:rsidR="001F0D0C">
              <w:rPr>
                <w:noProof/>
                <w:webHidden/>
              </w:rPr>
              <w:t>36</w:t>
            </w:r>
            <w:r w:rsidR="00D653C3">
              <w:rPr>
                <w:noProof/>
                <w:webHidden/>
              </w:rPr>
              <w:fldChar w:fldCharType="end"/>
            </w:r>
          </w:hyperlink>
        </w:p>
        <w:p w14:paraId="4247D4AB" w14:textId="765995FA"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09" w:history="1">
            <w:r w:rsidR="00D653C3" w:rsidRPr="0011385E">
              <w:rPr>
                <w:rStyle w:val="Hyperlink"/>
                <w:noProof/>
              </w:rPr>
              <w:t>Modeling cost and schedule complementarities between actions</w:t>
            </w:r>
            <w:r w:rsidR="00D653C3">
              <w:rPr>
                <w:noProof/>
                <w:webHidden/>
              </w:rPr>
              <w:tab/>
            </w:r>
            <w:r w:rsidR="00D653C3">
              <w:rPr>
                <w:noProof/>
                <w:webHidden/>
              </w:rPr>
              <w:fldChar w:fldCharType="begin"/>
            </w:r>
            <w:r w:rsidR="00D653C3">
              <w:rPr>
                <w:noProof/>
                <w:webHidden/>
              </w:rPr>
              <w:instrText xml:space="preserve"> PAGEREF _Toc192166309 \h </w:instrText>
            </w:r>
            <w:r w:rsidR="00D653C3">
              <w:rPr>
                <w:noProof/>
                <w:webHidden/>
              </w:rPr>
            </w:r>
            <w:r w:rsidR="00D653C3">
              <w:rPr>
                <w:noProof/>
                <w:webHidden/>
              </w:rPr>
              <w:fldChar w:fldCharType="separate"/>
            </w:r>
            <w:r w:rsidR="001F0D0C">
              <w:rPr>
                <w:noProof/>
                <w:webHidden/>
              </w:rPr>
              <w:t>36</w:t>
            </w:r>
            <w:r w:rsidR="00D653C3">
              <w:rPr>
                <w:noProof/>
                <w:webHidden/>
              </w:rPr>
              <w:fldChar w:fldCharType="end"/>
            </w:r>
          </w:hyperlink>
        </w:p>
        <w:p w14:paraId="58B67305" w14:textId="33475CA8"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0" w:history="1">
            <w:r w:rsidR="00D653C3" w:rsidRPr="0011385E">
              <w:rPr>
                <w:rStyle w:val="Hyperlink"/>
                <w:noProof/>
              </w:rPr>
              <w:t>More exploration of the action space</w:t>
            </w:r>
            <w:r w:rsidR="00D653C3">
              <w:rPr>
                <w:noProof/>
                <w:webHidden/>
              </w:rPr>
              <w:tab/>
            </w:r>
            <w:r w:rsidR="00D653C3">
              <w:rPr>
                <w:noProof/>
                <w:webHidden/>
              </w:rPr>
              <w:fldChar w:fldCharType="begin"/>
            </w:r>
            <w:r w:rsidR="00D653C3">
              <w:rPr>
                <w:noProof/>
                <w:webHidden/>
              </w:rPr>
              <w:instrText xml:space="preserve"> PAGEREF _Toc192166310 \h </w:instrText>
            </w:r>
            <w:r w:rsidR="00D653C3">
              <w:rPr>
                <w:noProof/>
                <w:webHidden/>
              </w:rPr>
            </w:r>
            <w:r w:rsidR="00D653C3">
              <w:rPr>
                <w:noProof/>
                <w:webHidden/>
              </w:rPr>
              <w:fldChar w:fldCharType="separate"/>
            </w:r>
            <w:r w:rsidR="001F0D0C">
              <w:rPr>
                <w:noProof/>
                <w:webHidden/>
              </w:rPr>
              <w:t>36</w:t>
            </w:r>
            <w:r w:rsidR="00D653C3">
              <w:rPr>
                <w:noProof/>
                <w:webHidden/>
              </w:rPr>
              <w:fldChar w:fldCharType="end"/>
            </w:r>
          </w:hyperlink>
        </w:p>
        <w:p w14:paraId="6A676AEB" w14:textId="30AADFA5"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1" w:history="1">
            <w:r w:rsidR="00D653C3" w:rsidRPr="0011385E">
              <w:rPr>
                <w:rStyle w:val="Hyperlink"/>
                <w:noProof/>
              </w:rPr>
              <w:t>Better understanding of discounting and appropriate rate structures</w:t>
            </w:r>
            <w:r w:rsidR="00D653C3">
              <w:rPr>
                <w:noProof/>
                <w:webHidden/>
              </w:rPr>
              <w:tab/>
            </w:r>
            <w:r w:rsidR="00D653C3">
              <w:rPr>
                <w:noProof/>
                <w:webHidden/>
              </w:rPr>
              <w:fldChar w:fldCharType="begin"/>
            </w:r>
            <w:r w:rsidR="00D653C3">
              <w:rPr>
                <w:noProof/>
                <w:webHidden/>
              </w:rPr>
              <w:instrText xml:space="preserve"> PAGEREF _Toc192166311 \h </w:instrText>
            </w:r>
            <w:r w:rsidR="00D653C3">
              <w:rPr>
                <w:noProof/>
                <w:webHidden/>
              </w:rPr>
            </w:r>
            <w:r w:rsidR="00D653C3">
              <w:rPr>
                <w:noProof/>
                <w:webHidden/>
              </w:rPr>
              <w:fldChar w:fldCharType="separate"/>
            </w:r>
            <w:r w:rsidR="001F0D0C">
              <w:rPr>
                <w:noProof/>
                <w:webHidden/>
              </w:rPr>
              <w:t>36</w:t>
            </w:r>
            <w:r w:rsidR="00D653C3">
              <w:rPr>
                <w:noProof/>
                <w:webHidden/>
              </w:rPr>
              <w:fldChar w:fldCharType="end"/>
            </w:r>
          </w:hyperlink>
        </w:p>
        <w:p w14:paraId="1C7DACFD" w14:textId="47D43AD2"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2" w:history="1">
            <w:r w:rsidR="00D653C3" w:rsidRPr="0011385E">
              <w:rPr>
                <w:rStyle w:val="Hyperlink"/>
                <w:noProof/>
              </w:rPr>
              <w:t>Assessment of non-financial metrics</w:t>
            </w:r>
            <w:r w:rsidR="00D653C3">
              <w:rPr>
                <w:noProof/>
                <w:webHidden/>
              </w:rPr>
              <w:tab/>
            </w:r>
            <w:r w:rsidR="00D653C3">
              <w:rPr>
                <w:noProof/>
                <w:webHidden/>
              </w:rPr>
              <w:fldChar w:fldCharType="begin"/>
            </w:r>
            <w:r w:rsidR="00D653C3">
              <w:rPr>
                <w:noProof/>
                <w:webHidden/>
              </w:rPr>
              <w:instrText xml:space="preserve"> PAGEREF _Toc192166312 \h </w:instrText>
            </w:r>
            <w:r w:rsidR="00D653C3">
              <w:rPr>
                <w:noProof/>
                <w:webHidden/>
              </w:rPr>
            </w:r>
            <w:r w:rsidR="00D653C3">
              <w:rPr>
                <w:noProof/>
                <w:webHidden/>
              </w:rPr>
              <w:fldChar w:fldCharType="separate"/>
            </w:r>
            <w:r w:rsidR="001F0D0C">
              <w:rPr>
                <w:noProof/>
                <w:webHidden/>
              </w:rPr>
              <w:t>37</w:t>
            </w:r>
            <w:r w:rsidR="00D653C3">
              <w:rPr>
                <w:noProof/>
                <w:webHidden/>
              </w:rPr>
              <w:fldChar w:fldCharType="end"/>
            </w:r>
          </w:hyperlink>
        </w:p>
        <w:p w14:paraId="1C6223CE" w14:textId="6ACDA082"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3" w:history="1">
            <w:r w:rsidR="00D653C3" w:rsidRPr="0011385E">
              <w:rPr>
                <w:rStyle w:val="Hyperlink"/>
                <w:noProof/>
              </w:rPr>
              <w:t>Inclusion of adaptive behavior</w:t>
            </w:r>
            <w:r w:rsidR="00D653C3">
              <w:rPr>
                <w:noProof/>
                <w:webHidden/>
              </w:rPr>
              <w:tab/>
            </w:r>
            <w:r w:rsidR="00D653C3">
              <w:rPr>
                <w:noProof/>
                <w:webHidden/>
              </w:rPr>
              <w:fldChar w:fldCharType="begin"/>
            </w:r>
            <w:r w:rsidR="00D653C3">
              <w:rPr>
                <w:noProof/>
                <w:webHidden/>
              </w:rPr>
              <w:instrText xml:space="preserve"> PAGEREF _Toc192166313 \h </w:instrText>
            </w:r>
            <w:r w:rsidR="00D653C3">
              <w:rPr>
                <w:noProof/>
                <w:webHidden/>
              </w:rPr>
            </w:r>
            <w:r w:rsidR="00D653C3">
              <w:rPr>
                <w:noProof/>
                <w:webHidden/>
              </w:rPr>
              <w:fldChar w:fldCharType="separate"/>
            </w:r>
            <w:r w:rsidR="001F0D0C">
              <w:rPr>
                <w:noProof/>
                <w:webHidden/>
              </w:rPr>
              <w:t>37</w:t>
            </w:r>
            <w:r w:rsidR="00D653C3">
              <w:rPr>
                <w:noProof/>
                <w:webHidden/>
              </w:rPr>
              <w:fldChar w:fldCharType="end"/>
            </w:r>
          </w:hyperlink>
        </w:p>
        <w:p w14:paraId="7C044AA8" w14:textId="515D0C8A"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4" w:history="1">
            <w:r w:rsidR="00D653C3" w:rsidRPr="0011385E">
              <w:rPr>
                <w:rStyle w:val="Hyperlink"/>
                <w:noProof/>
              </w:rPr>
              <w:t>Inclusion of active-active interactions</w:t>
            </w:r>
            <w:r w:rsidR="00D653C3">
              <w:rPr>
                <w:noProof/>
                <w:webHidden/>
              </w:rPr>
              <w:tab/>
            </w:r>
            <w:r w:rsidR="00D653C3">
              <w:rPr>
                <w:noProof/>
                <w:webHidden/>
              </w:rPr>
              <w:fldChar w:fldCharType="begin"/>
            </w:r>
            <w:r w:rsidR="00D653C3">
              <w:rPr>
                <w:noProof/>
                <w:webHidden/>
              </w:rPr>
              <w:instrText xml:space="preserve"> PAGEREF _Toc192166314 \h </w:instrText>
            </w:r>
            <w:r w:rsidR="00D653C3">
              <w:rPr>
                <w:noProof/>
                <w:webHidden/>
              </w:rPr>
            </w:r>
            <w:r w:rsidR="00D653C3">
              <w:rPr>
                <w:noProof/>
                <w:webHidden/>
              </w:rPr>
              <w:fldChar w:fldCharType="separate"/>
            </w:r>
            <w:r w:rsidR="001F0D0C">
              <w:rPr>
                <w:noProof/>
                <w:webHidden/>
              </w:rPr>
              <w:t>38</w:t>
            </w:r>
            <w:r w:rsidR="00D653C3">
              <w:rPr>
                <w:noProof/>
                <w:webHidden/>
              </w:rPr>
              <w:fldChar w:fldCharType="end"/>
            </w:r>
          </w:hyperlink>
        </w:p>
        <w:p w14:paraId="4BB11168" w14:textId="797F8BAD"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5" w:history="1">
            <w:r w:rsidR="00D653C3" w:rsidRPr="0011385E">
              <w:rPr>
                <w:rStyle w:val="Hyperlink"/>
                <w:noProof/>
              </w:rPr>
              <w:t>Inclusion of stochastic effects and different space environment scenarios</w:t>
            </w:r>
            <w:r w:rsidR="00D653C3">
              <w:rPr>
                <w:noProof/>
                <w:webHidden/>
              </w:rPr>
              <w:tab/>
            </w:r>
            <w:r w:rsidR="00D653C3">
              <w:rPr>
                <w:noProof/>
                <w:webHidden/>
              </w:rPr>
              <w:fldChar w:fldCharType="begin"/>
            </w:r>
            <w:r w:rsidR="00D653C3">
              <w:rPr>
                <w:noProof/>
                <w:webHidden/>
              </w:rPr>
              <w:instrText xml:space="preserve"> PAGEREF _Toc192166315 \h </w:instrText>
            </w:r>
            <w:r w:rsidR="00D653C3">
              <w:rPr>
                <w:noProof/>
                <w:webHidden/>
              </w:rPr>
            </w:r>
            <w:r w:rsidR="00D653C3">
              <w:rPr>
                <w:noProof/>
                <w:webHidden/>
              </w:rPr>
              <w:fldChar w:fldCharType="separate"/>
            </w:r>
            <w:r w:rsidR="001F0D0C">
              <w:rPr>
                <w:noProof/>
                <w:webHidden/>
              </w:rPr>
              <w:t>38</w:t>
            </w:r>
            <w:r w:rsidR="00D653C3">
              <w:rPr>
                <w:noProof/>
                <w:webHidden/>
              </w:rPr>
              <w:fldChar w:fldCharType="end"/>
            </w:r>
          </w:hyperlink>
        </w:p>
        <w:p w14:paraId="62F59EB7" w14:textId="021B8C5F"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6" w:history="1">
            <w:r w:rsidR="00D653C3" w:rsidRPr="0011385E">
              <w:rPr>
                <w:rStyle w:val="Hyperlink"/>
                <w:noProof/>
              </w:rPr>
              <w:t>Inclusion of policy constraints</w:t>
            </w:r>
            <w:r w:rsidR="00D653C3">
              <w:rPr>
                <w:noProof/>
                <w:webHidden/>
              </w:rPr>
              <w:tab/>
            </w:r>
            <w:r w:rsidR="00D653C3">
              <w:rPr>
                <w:noProof/>
                <w:webHidden/>
              </w:rPr>
              <w:fldChar w:fldCharType="begin"/>
            </w:r>
            <w:r w:rsidR="00D653C3">
              <w:rPr>
                <w:noProof/>
                <w:webHidden/>
              </w:rPr>
              <w:instrText xml:space="preserve"> PAGEREF _Toc192166316 \h </w:instrText>
            </w:r>
            <w:r w:rsidR="00D653C3">
              <w:rPr>
                <w:noProof/>
                <w:webHidden/>
              </w:rPr>
            </w:r>
            <w:r w:rsidR="00D653C3">
              <w:rPr>
                <w:noProof/>
                <w:webHidden/>
              </w:rPr>
              <w:fldChar w:fldCharType="separate"/>
            </w:r>
            <w:r w:rsidR="001F0D0C">
              <w:rPr>
                <w:noProof/>
                <w:webHidden/>
              </w:rPr>
              <w:t>38</w:t>
            </w:r>
            <w:r w:rsidR="00D653C3">
              <w:rPr>
                <w:noProof/>
                <w:webHidden/>
              </w:rPr>
              <w:fldChar w:fldCharType="end"/>
            </w:r>
          </w:hyperlink>
        </w:p>
        <w:p w14:paraId="03D6CDD1" w14:textId="65C01717" w:rsidR="00D653C3" w:rsidRDefault="00956D17">
          <w:pPr>
            <w:pStyle w:val="TOC3"/>
            <w:tabs>
              <w:tab w:val="right" w:pos="9350"/>
            </w:tabs>
            <w:rPr>
              <w:rFonts w:asciiTheme="minorHAnsi" w:eastAsiaTheme="minorEastAsia" w:hAnsiTheme="minorHAnsi" w:cstheme="minorBidi"/>
              <w:noProof/>
              <w:kern w:val="2"/>
              <w:sz w:val="24"/>
              <w:szCs w:val="24"/>
              <w14:ligatures w14:val="standardContextual"/>
            </w:rPr>
          </w:pPr>
          <w:hyperlink w:anchor="_Toc192166317" w:history="1">
            <w:r w:rsidR="00D653C3" w:rsidRPr="0011385E">
              <w:rPr>
                <w:rStyle w:val="Hyperlink"/>
                <w:noProof/>
              </w:rPr>
              <w:t>Inclusion of solar cycles</w:t>
            </w:r>
            <w:r w:rsidR="00D653C3">
              <w:rPr>
                <w:noProof/>
                <w:webHidden/>
              </w:rPr>
              <w:tab/>
            </w:r>
            <w:r w:rsidR="00D653C3">
              <w:rPr>
                <w:noProof/>
                <w:webHidden/>
              </w:rPr>
              <w:fldChar w:fldCharType="begin"/>
            </w:r>
            <w:r w:rsidR="00D653C3">
              <w:rPr>
                <w:noProof/>
                <w:webHidden/>
              </w:rPr>
              <w:instrText xml:space="preserve"> PAGEREF _Toc192166317 \h </w:instrText>
            </w:r>
            <w:r w:rsidR="00D653C3">
              <w:rPr>
                <w:noProof/>
                <w:webHidden/>
              </w:rPr>
            </w:r>
            <w:r w:rsidR="00D653C3">
              <w:rPr>
                <w:noProof/>
                <w:webHidden/>
              </w:rPr>
              <w:fldChar w:fldCharType="separate"/>
            </w:r>
            <w:r w:rsidR="001F0D0C">
              <w:rPr>
                <w:noProof/>
                <w:webHidden/>
              </w:rPr>
              <w:t>38</w:t>
            </w:r>
            <w:r w:rsidR="00D653C3">
              <w:rPr>
                <w:noProof/>
                <w:webHidden/>
              </w:rPr>
              <w:fldChar w:fldCharType="end"/>
            </w:r>
          </w:hyperlink>
        </w:p>
        <w:p w14:paraId="62A27DA7" w14:textId="3D08CD50"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318" w:history="1">
            <w:r w:rsidR="00D653C3" w:rsidRPr="0011385E">
              <w:rPr>
                <w:rStyle w:val="Hyperlink"/>
                <w:noProof/>
              </w:rPr>
              <w:t>Appendix A: Cost Estimation Methodology</w:t>
            </w:r>
            <w:r w:rsidR="00D653C3">
              <w:rPr>
                <w:noProof/>
                <w:webHidden/>
              </w:rPr>
              <w:tab/>
            </w:r>
            <w:r w:rsidR="00D653C3">
              <w:rPr>
                <w:noProof/>
                <w:webHidden/>
              </w:rPr>
              <w:fldChar w:fldCharType="begin"/>
            </w:r>
            <w:r w:rsidR="00D653C3">
              <w:rPr>
                <w:noProof/>
                <w:webHidden/>
              </w:rPr>
              <w:instrText xml:space="preserve"> PAGEREF _Toc192166318 \h </w:instrText>
            </w:r>
            <w:r w:rsidR="00D653C3">
              <w:rPr>
                <w:noProof/>
                <w:webHidden/>
              </w:rPr>
            </w:r>
            <w:r w:rsidR="00D653C3">
              <w:rPr>
                <w:noProof/>
                <w:webHidden/>
              </w:rPr>
              <w:fldChar w:fldCharType="separate"/>
            </w:r>
            <w:r w:rsidR="001F0D0C">
              <w:rPr>
                <w:noProof/>
                <w:webHidden/>
              </w:rPr>
              <w:t>39</w:t>
            </w:r>
            <w:r w:rsidR="00D653C3">
              <w:rPr>
                <w:noProof/>
                <w:webHidden/>
              </w:rPr>
              <w:fldChar w:fldCharType="end"/>
            </w:r>
          </w:hyperlink>
        </w:p>
        <w:p w14:paraId="0EBB4863" w14:textId="023DD6F4"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19" w:history="1">
            <w:r w:rsidR="00D653C3" w:rsidRPr="0011385E">
              <w:rPr>
                <w:rStyle w:val="Hyperlink"/>
                <w:noProof/>
              </w:rPr>
              <w:t>Mitigation actions</w:t>
            </w:r>
            <w:r w:rsidR="00D653C3">
              <w:rPr>
                <w:noProof/>
                <w:webHidden/>
              </w:rPr>
              <w:tab/>
            </w:r>
            <w:r w:rsidR="00D653C3">
              <w:rPr>
                <w:noProof/>
                <w:webHidden/>
              </w:rPr>
              <w:fldChar w:fldCharType="begin"/>
            </w:r>
            <w:r w:rsidR="00D653C3">
              <w:rPr>
                <w:noProof/>
                <w:webHidden/>
              </w:rPr>
              <w:instrText xml:space="preserve"> PAGEREF _Toc192166319 \h </w:instrText>
            </w:r>
            <w:r w:rsidR="00D653C3">
              <w:rPr>
                <w:noProof/>
                <w:webHidden/>
              </w:rPr>
            </w:r>
            <w:r w:rsidR="00D653C3">
              <w:rPr>
                <w:noProof/>
                <w:webHidden/>
              </w:rPr>
              <w:fldChar w:fldCharType="separate"/>
            </w:r>
            <w:r w:rsidR="001F0D0C">
              <w:rPr>
                <w:noProof/>
                <w:webHidden/>
              </w:rPr>
              <w:t>41</w:t>
            </w:r>
            <w:r w:rsidR="00D653C3">
              <w:rPr>
                <w:noProof/>
                <w:webHidden/>
              </w:rPr>
              <w:fldChar w:fldCharType="end"/>
            </w:r>
          </w:hyperlink>
        </w:p>
        <w:p w14:paraId="41D4B3D7" w14:textId="6171755D"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20" w:history="1">
            <w:r w:rsidR="00D653C3" w:rsidRPr="0011385E">
              <w:rPr>
                <w:rStyle w:val="Hyperlink"/>
                <w:noProof/>
              </w:rPr>
              <w:t>Remediation actions</w:t>
            </w:r>
            <w:r w:rsidR="00D653C3">
              <w:rPr>
                <w:noProof/>
                <w:webHidden/>
              </w:rPr>
              <w:tab/>
            </w:r>
            <w:r w:rsidR="00D653C3">
              <w:rPr>
                <w:noProof/>
                <w:webHidden/>
              </w:rPr>
              <w:fldChar w:fldCharType="begin"/>
            </w:r>
            <w:r w:rsidR="00D653C3">
              <w:rPr>
                <w:noProof/>
                <w:webHidden/>
              </w:rPr>
              <w:instrText xml:space="preserve"> PAGEREF _Toc192166320 \h </w:instrText>
            </w:r>
            <w:r w:rsidR="00D653C3">
              <w:rPr>
                <w:noProof/>
                <w:webHidden/>
              </w:rPr>
            </w:r>
            <w:r w:rsidR="00D653C3">
              <w:rPr>
                <w:noProof/>
                <w:webHidden/>
              </w:rPr>
              <w:fldChar w:fldCharType="separate"/>
            </w:r>
            <w:r w:rsidR="001F0D0C">
              <w:rPr>
                <w:noProof/>
                <w:webHidden/>
              </w:rPr>
              <w:t>43</w:t>
            </w:r>
            <w:r w:rsidR="00D653C3">
              <w:rPr>
                <w:noProof/>
                <w:webHidden/>
              </w:rPr>
              <w:fldChar w:fldCharType="end"/>
            </w:r>
          </w:hyperlink>
        </w:p>
        <w:p w14:paraId="18040996" w14:textId="7E008FBC"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21" w:history="1">
            <w:r w:rsidR="00D653C3" w:rsidRPr="0011385E">
              <w:rPr>
                <w:rStyle w:val="Hyperlink"/>
                <w:noProof/>
              </w:rPr>
              <w:t>Tracking actions</w:t>
            </w:r>
            <w:r w:rsidR="00D653C3">
              <w:rPr>
                <w:noProof/>
                <w:webHidden/>
              </w:rPr>
              <w:tab/>
            </w:r>
            <w:r w:rsidR="00D653C3">
              <w:rPr>
                <w:noProof/>
                <w:webHidden/>
              </w:rPr>
              <w:fldChar w:fldCharType="begin"/>
            </w:r>
            <w:r w:rsidR="00D653C3">
              <w:rPr>
                <w:noProof/>
                <w:webHidden/>
              </w:rPr>
              <w:instrText xml:space="preserve"> PAGEREF _Toc192166321 \h </w:instrText>
            </w:r>
            <w:r w:rsidR="00D653C3">
              <w:rPr>
                <w:noProof/>
                <w:webHidden/>
              </w:rPr>
            </w:r>
            <w:r w:rsidR="00D653C3">
              <w:rPr>
                <w:noProof/>
                <w:webHidden/>
              </w:rPr>
              <w:fldChar w:fldCharType="separate"/>
            </w:r>
            <w:r w:rsidR="001F0D0C">
              <w:rPr>
                <w:noProof/>
                <w:webHidden/>
              </w:rPr>
              <w:t>47</w:t>
            </w:r>
            <w:r w:rsidR="00D653C3">
              <w:rPr>
                <w:noProof/>
                <w:webHidden/>
              </w:rPr>
              <w:fldChar w:fldCharType="end"/>
            </w:r>
          </w:hyperlink>
        </w:p>
        <w:p w14:paraId="6DF08818" w14:textId="1C52FDD6"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322" w:history="1">
            <w:r w:rsidR="00D653C3" w:rsidRPr="0011385E">
              <w:rPr>
                <w:rStyle w:val="Hyperlink"/>
                <w:noProof/>
              </w:rPr>
              <w:t>Appendix B: Simulation Framework</w:t>
            </w:r>
            <w:r w:rsidR="00D653C3">
              <w:rPr>
                <w:noProof/>
                <w:webHidden/>
              </w:rPr>
              <w:tab/>
            </w:r>
            <w:r w:rsidR="00D653C3">
              <w:rPr>
                <w:noProof/>
                <w:webHidden/>
              </w:rPr>
              <w:fldChar w:fldCharType="begin"/>
            </w:r>
            <w:r w:rsidR="00D653C3">
              <w:rPr>
                <w:noProof/>
                <w:webHidden/>
              </w:rPr>
              <w:instrText xml:space="preserve"> PAGEREF _Toc192166322 \h </w:instrText>
            </w:r>
            <w:r w:rsidR="00D653C3">
              <w:rPr>
                <w:noProof/>
                <w:webHidden/>
              </w:rPr>
            </w:r>
            <w:r w:rsidR="00D653C3">
              <w:rPr>
                <w:noProof/>
                <w:webHidden/>
              </w:rPr>
              <w:fldChar w:fldCharType="separate"/>
            </w:r>
            <w:r w:rsidR="001F0D0C">
              <w:rPr>
                <w:noProof/>
                <w:webHidden/>
              </w:rPr>
              <w:t>49</w:t>
            </w:r>
            <w:r w:rsidR="00D653C3">
              <w:rPr>
                <w:noProof/>
                <w:webHidden/>
              </w:rPr>
              <w:fldChar w:fldCharType="end"/>
            </w:r>
          </w:hyperlink>
        </w:p>
        <w:p w14:paraId="3FA2014C" w14:textId="66B0532F" w:rsidR="00D653C3" w:rsidRDefault="00956D17">
          <w:pPr>
            <w:pStyle w:val="TOC2"/>
            <w:tabs>
              <w:tab w:val="right" w:pos="9350"/>
            </w:tabs>
            <w:rPr>
              <w:rFonts w:asciiTheme="minorHAnsi" w:eastAsiaTheme="minorEastAsia" w:hAnsiTheme="minorHAnsi" w:cstheme="minorBidi"/>
              <w:b w:val="0"/>
              <w:bCs w:val="0"/>
              <w:noProof/>
              <w:kern w:val="2"/>
              <w:sz w:val="24"/>
              <w:szCs w:val="24"/>
              <w14:ligatures w14:val="standardContextual"/>
            </w:rPr>
          </w:pPr>
          <w:hyperlink w:anchor="_Toc192166323" w:history="1">
            <w:r w:rsidR="00D653C3" w:rsidRPr="0011385E">
              <w:rPr>
                <w:rStyle w:val="Hyperlink"/>
                <w:noProof/>
              </w:rPr>
              <w:t>Constructing the set of admissible portfolios</w:t>
            </w:r>
            <w:r w:rsidR="00D653C3">
              <w:rPr>
                <w:noProof/>
                <w:webHidden/>
              </w:rPr>
              <w:tab/>
            </w:r>
            <w:r w:rsidR="00D653C3">
              <w:rPr>
                <w:noProof/>
                <w:webHidden/>
              </w:rPr>
              <w:fldChar w:fldCharType="begin"/>
            </w:r>
            <w:r w:rsidR="00D653C3">
              <w:rPr>
                <w:noProof/>
                <w:webHidden/>
              </w:rPr>
              <w:instrText xml:space="preserve"> PAGEREF _Toc192166323 \h </w:instrText>
            </w:r>
            <w:r w:rsidR="00D653C3">
              <w:rPr>
                <w:noProof/>
                <w:webHidden/>
              </w:rPr>
            </w:r>
            <w:r w:rsidR="00D653C3">
              <w:rPr>
                <w:noProof/>
                <w:webHidden/>
              </w:rPr>
              <w:fldChar w:fldCharType="separate"/>
            </w:r>
            <w:r w:rsidR="001F0D0C">
              <w:rPr>
                <w:noProof/>
                <w:webHidden/>
              </w:rPr>
              <w:t>49</w:t>
            </w:r>
            <w:r w:rsidR="00D653C3">
              <w:rPr>
                <w:noProof/>
                <w:webHidden/>
              </w:rPr>
              <w:fldChar w:fldCharType="end"/>
            </w:r>
          </w:hyperlink>
        </w:p>
        <w:p w14:paraId="45188EC2" w14:textId="221089A1"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324" w:history="1">
            <w:r w:rsidR="00D653C3" w:rsidRPr="0011385E">
              <w:rPr>
                <w:rStyle w:val="Hyperlink"/>
                <w:noProof/>
              </w:rPr>
              <w:t>Appendix C: Acronyms</w:t>
            </w:r>
            <w:r w:rsidR="00D653C3">
              <w:rPr>
                <w:noProof/>
                <w:webHidden/>
              </w:rPr>
              <w:tab/>
            </w:r>
            <w:r w:rsidR="00D653C3">
              <w:rPr>
                <w:noProof/>
                <w:webHidden/>
              </w:rPr>
              <w:fldChar w:fldCharType="begin"/>
            </w:r>
            <w:r w:rsidR="00D653C3">
              <w:rPr>
                <w:noProof/>
                <w:webHidden/>
              </w:rPr>
              <w:instrText xml:space="preserve"> PAGEREF _Toc192166324 \h </w:instrText>
            </w:r>
            <w:r w:rsidR="00D653C3">
              <w:rPr>
                <w:noProof/>
                <w:webHidden/>
              </w:rPr>
            </w:r>
            <w:r w:rsidR="00D653C3">
              <w:rPr>
                <w:noProof/>
                <w:webHidden/>
              </w:rPr>
              <w:fldChar w:fldCharType="separate"/>
            </w:r>
            <w:r w:rsidR="001F0D0C">
              <w:rPr>
                <w:noProof/>
                <w:webHidden/>
              </w:rPr>
              <w:t>51</w:t>
            </w:r>
            <w:r w:rsidR="00D653C3">
              <w:rPr>
                <w:noProof/>
                <w:webHidden/>
              </w:rPr>
              <w:fldChar w:fldCharType="end"/>
            </w:r>
          </w:hyperlink>
        </w:p>
        <w:p w14:paraId="5A29939F" w14:textId="1A108CE3" w:rsidR="00D653C3" w:rsidRDefault="00956D17">
          <w:pPr>
            <w:pStyle w:val="TOC1"/>
            <w:tabs>
              <w:tab w:val="right" w:pos="9350"/>
            </w:tabs>
            <w:rPr>
              <w:rFonts w:asciiTheme="minorHAnsi" w:eastAsiaTheme="minorEastAsia" w:hAnsiTheme="minorHAnsi" w:cstheme="minorBidi"/>
              <w:b w:val="0"/>
              <w:bCs w:val="0"/>
              <w:iCs w:val="0"/>
              <w:noProof/>
              <w:kern w:val="2"/>
              <w:sz w:val="24"/>
              <w14:ligatures w14:val="standardContextual"/>
            </w:rPr>
          </w:pPr>
          <w:hyperlink w:anchor="_Toc192166325" w:history="1">
            <w:r w:rsidR="00D653C3" w:rsidRPr="0011385E">
              <w:rPr>
                <w:rStyle w:val="Hyperlink"/>
                <w:noProof/>
              </w:rPr>
              <w:t>References</w:t>
            </w:r>
            <w:r w:rsidR="00D653C3">
              <w:rPr>
                <w:noProof/>
                <w:webHidden/>
              </w:rPr>
              <w:tab/>
            </w:r>
            <w:r w:rsidR="00D653C3">
              <w:rPr>
                <w:noProof/>
                <w:webHidden/>
              </w:rPr>
              <w:fldChar w:fldCharType="begin"/>
            </w:r>
            <w:r w:rsidR="00D653C3">
              <w:rPr>
                <w:noProof/>
                <w:webHidden/>
              </w:rPr>
              <w:instrText xml:space="preserve"> PAGEREF _Toc192166325 \h </w:instrText>
            </w:r>
            <w:r w:rsidR="00D653C3">
              <w:rPr>
                <w:noProof/>
                <w:webHidden/>
              </w:rPr>
            </w:r>
            <w:r w:rsidR="00D653C3">
              <w:rPr>
                <w:noProof/>
                <w:webHidden/>
              </w:rPr>
              <w:fldChar w:fldCharType="separate"/>
            </w:r>
            <w:r w:rsidR="001F0D0C">
              <w:rPr>
                <w:noProof/>
                <w:webHidden/>
              </w:rPr>
              <w:t>52</w:t>
            </w:r>
            <w:r w:rsidR="00D653C3">
              <w:rPr>
                <w:noProof/>
                <w:webHidden/>
              </w:rPr>
              <w:fldChar w:fldCharType="end"/>
            </w:r>
          </w:hyperlink>
        </w:p>
        <w:p w14:paraId="3C7B6340" w14:textId="0811313A" w:rsidR="0039681F" w:rsidRDefault="0039681F">
          <w:pPr>
            <w:rPr>
              <w:b/>
              <w:bCs/>
              <w:noProof/>
            </w:rPr>
          </w:pPr>
          <w:r>
            <w:rPr>
              <w:b/>
              <w:bCs/>
              <w:noProof/>
            </w:rPr>
            <w:fldChar w:fldCharType="end"/>
          </w:r>
        </w:p>
      </w:sdtContent>
    </w:sdt>
    <w:p w14:paraId="0D290448" w14:textId="017536B2" w:rsidR="0025200B" w:rsidRDefault="0025200B">
      <w:pPr>
        <w:sectPr w:rsidR="0025200B" w:rsidSect="00020860">
          <w:footerReference w:type="default" r:id="rId10"/>
          <w:pgSz w:w="12240" w:h="15840"/>
          <w:pgMar w:top="1440" w:right="1440" w:bottom="1440" w:left="1440" w:header="720" w:footer="720" w:gutter="0"/>
          <w:pgNumType w:fmt="lowerRoman"/>
          <w:cols w:space="720"/>
          <w:docGrid w:linePitch="360"/>
        </w:sectPr>
      </w:pPr>
    </w:p>
    <w:p w14:paraId="7A8955CF" w14:textId="0B9CF07A" w:rsidR="00F73F5C" w:rsidRPr="00D2438E" w:rsidRDefault="00FC0E18" w:rsidP="00F73F5C">
      <w:pPr>
        <w:pStyle w:val="Heading1"/>
      </w:pPr>
      <w:bookmarkStart w:id="5" w:name="_Toc108445196"/>
      <w:bookmarkStart w:id="6" w:name="_Toc192166294"/>
      <w:bookmarkEnd w:id="4"/>
      <w:r>
        <w:lastRenderedPageBreak/>
        <w:t>Purpose</w:t>
      </w:r>
      <w:r w:rsidR="00F73F5C" w:rsidRPr="00D2438E">
        <w:t xml:space="preserve"> and </w:t>
      </w:r>
      <w:bookmarkEnd w:id="5"/>
      <w:r>
        <w:t>Scope</w:t>
      </w:r>
      <w:bookmarkEnd w:id="6"/>
    </w:p>
    <w:p w14:paraId="58F6C195" w14:textId="4F10A797" w:rsidR="00FC0E18" w:rsidRDefault="00FC0E18" w:rsidP="00FC0E18">
      <w:r>
        <w:t>This report is an update the previous work to estimate the costs and benefits of actions that reduce the risks that orbital debris pos</w:t>
      </w:r>
      <w:r w:rsidR="00410720">
        <w:t>e</w:t>
      </w:r>
      <w:r>
        <w:t xml:space="preserve"> to space operators. The current analysis demonstrates how to use the risk model from </w:t>
      </w:r>
      <w:sdt>
        <w:sdtPr>
          <w:id w:val="-773706025"/>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 xml:space="preserve"> to identify </w:t>
      </w:r>
      <w:r w:rsidR="00BE1969">
        <w:t>desirable</w:t>
      </w:r>
      <w:r>
        <w:t xml:space="preserve"> combinations</w:t>
      </w:r>
      <w:r w:rsidR="00B46141">
        <w:t xml:space="preserve"> – “</w:t>
      </w:r>
      <w:r w:rsidR="00DE3613">
        <w:t xml:space="preserve">efficient </w:t>
      </w:r>
      <w:r w:rsidR="00B46141">
        <w:t>portfolios” –</w:t>
      </w:r>
      <w:r>
        <w:t xml:space="preserve"> of risk-reducing actions. The</w:t>
      </w:r>
      <w:r w:rsidR="001B1BCC">
        <w:t xml:space="preserve"> risk-reducing</w:t>
      </w:r>
      <w:r>
        <w:t xml:space="preserve"> actions considered are a subset of th</w:t>
      </w:r>
      <w:r w:rsidR="001B1BCC">
        <w:t>ose</w:t>
      </w:r>
      <w:r>
        <w:t xml:space="preserve"> analyzed in </w:t>
      </w:r>
      <w:sdt>
        <w:sdtPr>
          <w:id w:val="-211415431"/>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 xml:space="preserve">. </w:t>
      </w:r>
      <w:r w:rsidR="00B46141">
        <w:t xml:space="preserve">The </w:t>
      </w:r>
      <w:r w:rsidR="0052732C">
        <w:t xml:space="preserve">efficient </w:t>
      </w:r>
      <w:r w:rsidR="00B46141">
        <w:t>portfolios identified are</w:t>
      </w:r>
      <w:r>
        <w:t xml:space="preserve"> groups of actions which, if invested in, will provide maximal net benefit to the </w:t>
      </w:r>
      <w:r w:rsidR="001B1BCC">
        <w:t xml:space="preserve">global </w:t>
      </w:r>
      <w:r>
        <w:t>community of space operators</w:t>
      </w:r>
      <w:r w:rsidR="00B46141">
        <w:t xml:space="preserve"> over our analysis horizon (60 years)</w:t>
      </w:r>
      <w:r w:rsidR="00AA19C6">
        <w:t xml:space="preserve">, </w:t>
      </w:r>
      <w:r w:rsidR="00EE2CB8">
        <w:t>conditional on the assumptions and limitations of this stu</w:t>
      </w:r>
      <w:r w:rsidR="0081581D">
        <w:t>d</w:t>
      </w:r>
      <w:r w:rsidR="00EE2CB8">
        <w:t>y</w:t>
      </w:r>
      <w:r>
        <w:t xml:space="preserve">. This analysis also provides an assessment of the budget outlays necessary to support these actions, and the prioritization of actions in the event that only a subset of </w:t>
      </w:r>
      <w:r w:rsidR="00E82F5F">
        <w:t xml:space="preserve">an efficient </w:t>
      </w:r>
      <w:r>
        <w:t>portfolio can be pursued.</w:t>
      </w:r>
    </w:p>
    <w:p w14:paraId="03299DE6" w14:textId="11A97962" w:rsidR="00FC0E18" w:rsidRDefault="00052D25" w:rsidP="00581647">
      <w:pPr>
        <w:ind w:firstLine="360"/>
      </w:pPr>
      <w:r>
        <w:t>The simulation framework used</w:t>
      </w:r>
      <w:r w:rsidR="001B1BCC">
        <w:t xml:space="preserve"> in this analysis</w:t>
      </w:r>
      <w:r>
        <w:t xml:space="preserve"> is the same as in </w:t>
      </w:r>
      <w:sdt>
        <w:sdtPr>
          <w:id w:val="-1138037662"/>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 xml:space="preserve">. We provide a brief overview here; interested readers are referred to that study for a detailed discussion of the simulation methodology. Briefly, this study simulated the evolution of space debris 1 millimeter and larger – including debris generation through shedding, accidental explosions, and collisions, as well as the effects of atmospheric drag that will deorbit debris – over a period of 60 years. We </w:t>
      </w:r>
      <w:r w:rsidR="00854C42">
        <w:t>simulated this evolution using</w:t>
      </w:r>
      <w:r>
        <w:t xml:space="preserve"> an ensemble of models, reflecting different assessments made by NASA and the European Space Agency (ESA). We combined these models with estimates of the financial consequences of interacting with debris to estimate the risk</w:t>
      </w:r>
      <w:r w:rsidR="00854C42">
        <w:t>s</w:t>
      </w:r>
      <w:r>
        <w:t xml:space="preserve"> to all spacecraft operators in dollar units. </w:t>
      </w:r>
      <w:r w:rsidR="00854C42">
        <w:t>Our risk</w:t>
      </w:r>
      <w:r w:rsidR="00B46141">
        <w:t xml:space="preserve"> model</w:t>
      </w:r>
      <w:r w:rsidR="00854C42">
        <w:t>ing</w:t>
      </w:r>
      <w:r w:rsidR="00B46141">
        <w:t xml:space="preserve"> allowed us to</w:t>
      </w:r>
      <w:r>
        <w:t xml:space="preserve"> simulate </w:t>
      </w:r>
      <w:r w:rsidR="00B46141">
        <w:t>how</w:t>
      </w:r>
      <w:r>
        <w:t xml:space="preserve"> investing in combinations of actions</w:t>
      </w:r>
      <w:r w:rsidR="00B46141">
        <w:t xml:space="preserve"> to mitigate, track, and remediate debris</w:t>
      </w:r>
      <w:r>
        <w:t xml:space="preserve"> </w:t>
      </w:r>
      <w:r w:rsidR="00B46141">
        <w:t>changes the risk to spacecraft operators. The benefit of an action or combination of actions is the risk it reduces</w:t>
      </w:r>
      <w:r w:rsidR="00854C42">
        <w:t>, while the cost of an action or combination of actions is the budget outlay required to implement it</w:t>
      </w:r>
      <w:r w:rsidR="00B46141">
        <w:t>.</w:t>
      </w:r>
    </w:p>
    <w:p w14:paraId="03D84522" w14:textId="47562879" w:rsidR="00FC0E18" w:rsidRDefault="00FC0E18" w:rsidP="00581647">
      <w:pPr>
        <w:ind w:firstLine="360"/>
      </w:pPr>
      <w:r>
        <w:t>In our previous work</w:t>
      </w:r>
      <w:r w:rsidR="00B46141">
        <w:t xml:space="preserve"> (</w:t>
      </w:r>
      <w:sdt>
        <w:sdtPr>
          <w:id w:val="574941022"/>
          <w:citation/>
        </w:sdtPr>
        <w:sdtEndPr/>
        <w:sdtContent>
          <w:r w:rsidR="00B46141">
            <w:fldChar w:fldCharType="begin"/>
          </w:r>
          <w:r w:rsidR="00B46141">
            <w:instrText xml:space="preserve"> CITATION Col23 \l 1033 </w:instrText>
          </w:r>
          <w:r w:rsidR="00B46141">
            <w:fldChar w:fldCharType="separate"/>
          </w:r>
          <w:r w:rsidR="00A466B0">
            <w:rPr>
              <w:noProof/>
            </w:rPr>
            <w:t xml:space="preserve"> (Colvin, Karcz and Wusk 2023)</w:t>
          </w:r>
          <w:r w:rsidR="00B46141">
            <w:fldChar w:fldCharType="end"/>
          </w:r>
        </w:sdtContent>
      </w:sdt>
      <w:r w:rsidR="00B46141">
        <w:t xml:space="preserve">, </w:t>
      </w:r>
      <w:sdt>
        <w:sdtPr>
          <w:id w:val="-1084601649"/>
          <w:citation/>
        </w:sdtPr>
        <w:sdtEndPr/>
        <w:sdtContent>
          <w:r w:rsidR="00B46141">
            <w:fldChar w:fldCharType="begin"/>
          </w:r>
          <w:r w:rsidR="00B46141">
            <w:instrText xml:space="preserve"> CITATION Loc24 \l 1033 </w:instrText>
          </w:r>
          <w:r w:rsidR="00B46141">
            <w:fldChar w:fldCharType="separate"/>
          </w:r>
          <w:r w:rsidR="00A466B0">
            <w:rPr>
              <w:noProof/>
            </w:rPr>
            <w:t>(Locke, et al. 2024)</w:t>
          </w:r>
          <w:r w:rsidR="00B46141">
            <w:fldChar w:fldCharType="end"/>
          </w:r>
        </w:sdtContent>
      </w:sdt>
      <w:r w:rsidR="00B46141">
        <w:t>) we assessed the benefits of individual actions through “cost effectiveness” metrics like the ratio of benefits to costs or by directly plotting the accumulati</w:t>
      </w:r>
      <w:r w:rsidR="00854C42">
        <w:t>on</w:t>
      </w:r>
      <w:r w:rsidR="00B46141">
        <w:t xml:space="preserve"> of</w:t>
      </w:r>
      <w:r w:rsidR="00854C42">
        <w:t xml:space="preserve"> net</w:t>
      </w:r>
      <w:r w:rsidR="00B46141">
        <w:t xml:space="preserve"> benefits</w:t>
      </w:r>
      <w:r w:rsidR="00854C42">
        <w:t xml:space="preserve"> (benefits minus costs)</w:t>
      </w:r>
      <w:r w:rsidR="00B46141">
        <w:t xml:space="preserve"> over time. </w:t>
      </w:r>
      <w:r w:rsidR="00634FD7">
        <w:t>For the</w:t>
      </w:r>
      <w:r w:rsidR="00B46141">
        <w:t xml:space="preserve"> analysis</w:t>
      </w:r>
      <w:r w:rsidR="00634FD7">
        <w:t xml:space="preserve"> in the current report,</w:t>
      </w:r>
      <w:r w:rsidR="00B46141">
        <w:t xml:space="preserve"> we maintain</w:t>
      </w:r>
      <w:r w:rsidR="001B1BCC">
        <w:t>ed</w:t>
      </w:r>
      <w:r w:rsidR="00B46141">
        <w:t xml:space="preserve"> the emphasis on dollar-denominated risk </w:t>
      </w:r>
      <w:r w:rsidR="00854C42">
        <w:t xml:space="preserve">to calculate benefits and budget outlays to calculate </w:t>
      </w:r>
      <w:r w:rsidR="002E5B78">
        <w:t>costs but</w:t>
      </w:r>
      <w:r w:rsidR="00B46141">
        <w:t xml:space="preserve"> focus</w:t>
      </w:r>
      <w:r w:rsidR="001B1BCC">
        <w:t>ed</w:t>
      </w:r>
      <w:r w:rsidR="00B46141">
        <w:t xml:space="preserve"> instead on the Net Present Value (NPV) of portfolios of actions.</w:t>
      </w:r>
      <w:r w:rsidR="001B1BCC">
        <w:t xml:space="preserve"> The NPV is calculated by summing the benefits and subtracting the costs associated with the action, with the benefits and costs weighted based on the year in which they occur. This weighting, known as “discounting”, ensures that the timing of when benefits and costs are accrued is accounted for. The weighting is done using a percentage rate, called the “discount rate”, which measures the rate at which society is willing to give up money today in exchange for benefits received in the future. The use of discounting in assessing US government investments and regulatory policy is prescribed by the </w:t>
      </w:r>
      <w:r w:rsidR="001B1BCC">
        <w:lastRenderedPageBreak/>
        <w:t>Office of Management and Budget (OMB), which maintains a schedule of discount rates to use for this purpose. If the NPV of an investment exceeds 0, it generates benefits in excess of its costs – including the opportunity cost of forgoing alternate investments. We simulated the evolution of the space environment under a large number of possible portfolios of risk-reducing actions and ranked the portfolios by their NPV. The portfolios with the highest NPV were assessed as “</w:t>
      </w:r>
      <w:r w:rsidR="00F354F2">
        <w:t>efficient</w:t>
      </w:r>
      <w:r w:rsidR="001B1BCC">
        <w:t>” given the relevant assumptions or constraints imposed.</w:t>
      </w:r>
    </w:p>
    <w:p w14:paraId="774A2E67" w14:textId="51303121" w:rsidR="00FC0E18" w:rsidRDefault="00854C42" w:rsidP="00581647">
      <w:pPr>
        <w:ind w:firstLine="360"/>
      </w:pPr>
      <w:r>
        <w:t xml:space="preserve">This study has several limitations. </w:t>
      </w:r>
      <w:r w:rsidR="00895218">
        <w:t>Like</w:t>
      </w:r>
      <w:r>
        <w:t xml:space="preserve"> </w:t>
      </w:r>
      <w:sdt>
        <w:sdtPr>
          <w:id w:val="-1674644151"/>
          <w:citation/>
        </w:sdtPr>
        <w:sdtEndPr/>
        <w:sdtContent>
          <w:r>
            <w:fldChar w:fldCharType="begin"/>
          </w:r>
          <w:r>
            <w:instrText xml:space="preserve"> CITATION Col23 \l 1033 </w:instrText>
          </w:r>
          <w:r>
            <w:fldChar w:fldCharType="separate"/>
          </w:r>
          <w:r w:rsidR="00A466B0">
            <w:rPr>
              <w:noProof/>
            </w:rPr>
            <w:t>(Colvin, Karcz and Wusk 2023)</w:t>
          </w:r>
          <w:r>
            <w:fldChar w:fldCharType="end"/>
          </w:r>
        </w:sdtContent>
      </w:sdt>
      <w:r>
        <w:t xml:space="preserve"> and </w:t>
      </w:r>
      <w:sdt>
        <w:sdtPr>
          <w:id w:val="-649052071"/>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 we considered spacecraft in low-Earth orbit (LEO) only. Space sustainability in the geostationary belt (GEO) is a serious and understudied issue. Given the significant differences between the orbital dynamics of spacecraft in LEO and GEO, our model of the evolution of the space environment is not suitable for use in GEO.</w:t>
      </w:r>
    </w:p>
    <w:p w14:paraId="72FC568A" w14:textId="47B0117D" w:rsidR="00854C42" w:rsidRDefault="00124C24" w:rsidP="00581647">
      <w:pPr>
        <w:ind w:firstLine="360"/>
      </w:pPr>
      <w:r>
        <w:t>A</w:t>
      </w:r>
      <w:r w:rsidR="00854C42">
        <w:t xml:space="preserve"> second limitation is that we continue to omit policy and implementation concerns regarding the risk-reducing actions we study</w:t>
      </w:r>
      <w:r w:rsidR="00066CBD">
        <w:t xml:space="preserve">. </w:t>
      </w:r>
      <w:r w:rsidR="009C251A">
        <w:t>However, if</w:t>
      </w:r>
      <w:r w:rsidR="00066CBD">
        <w:t xml:space="preserve"> policy or implementation concerns preclude pursuing an action that contributes significantly to the NPV of an attractive portfolio, our portfolio-assessment methodology will allow decision-makers to identify alternative portfolios that do not have similar concerns. Our methodology will also support assessment of the opportunity costs of those policy or implementation concerns.</w:t>
      </w:r>
    </w:p>
    <w:p w14:paraId="74CFC35D" w14:textId="4F5B910F" w:rsidR="00066CBD" w:rsidRDefault="00066CBD" w:rsidP="00581647">
      <w:pPr>
        <w:ind w:firstLine="360"/>
      </w:pPr>
      <w:r>
        <w:t xml:space="preserve">A third limitation is that the costs associated with the development and operation of the mitigation, tracking, and remediation actions are rough estimates based on particular concepts of operations (CONOPS). We relied on the </w:t>
      </w:r>
      <w:r w:rsidR="00037F50">
        <w:t>estimates</w:t>
      </w:r>
      <w:r>
        <w:t xml:space="preserve"> used in the Phase 1 and Phase 2 reports to </w:t>
      </w:r>
      <w:r w:rsidR="00CF4819">
        <w:t>construct</w:t>
      </w:r>
      <w:r>
        <w:t xml:space="preserve"> estimate</w:t>
      </w:r>
      <w:r w:rsidR="00423C66">
        <w:t>s</w:t>
      </w:r>
      <w:r>
        <w:t xml:space="preserve"> </w:t>
      </w:r>
      <w:r w:rsidR="00423C66">
        <w:t>of</w:t>
      </w:r>
      <w:r>
        <w:t xml:space="preserve"> the budgetary outlays required to implement these actions</w:t>
      </w:r>
      <w:r w:rsidR="00C725C7">
        <w:t xml:space="preserve"> over our period of simulation</w:t>
      </w:r>
      <w:r>
        <w:t xml:space="preserve">. The scope of this study did not allow for assessment of the technology readiness level or the advancement degree of difficulty of these systems. While the Phase 1 and Phase 2 reports used ranges of costs and efficacies to mitigate optimism or pessimism associated with individual actions, the effects of combining actions make the determination of whether a particular assumption is optimistic or pessimistic with respect to a particular portfolio challenging. Computational constraints limited our ability to simulate every possible combination of assumptions. We therefore rely on the most individually optimistic estimates found in the Phase 1 and 2 reports (i.e., low cost and high efficacy) to calculate the portfolio NPVs. The NPVs can then be used to assess the degree of additional cost </w:t>
      </w:r>
      <w:r w:rsidR="000E3D29">
        <w:t xml:space="preserve">of achieving our stated efficacies </w:t>
      </w:r>
      <w:r>
        <w:t>that would overturn our conclusions here</w:t>
      </w:r>
      <w:r w:rsidR="00F43931">
        <w:t>, though we d</w:t>
      </w:r>
      <w:r w:rsidR="00B74FC2">
        <w:t>id not pursue this effort in this analysis</w:t>
      </w:r>
      <w:r>
        <w:t xml:space="preserve">. Overall, this study does not attempt to provide definitive or high-fidelity estimates of costs or benefits of particular actions, nor does it attempt to make a definitive determination of </w:t>
      </w:r>
      <w:r w:rsidR="0071157F">
        <w:t xml:space="preserve">the </w:t>
      </w:r>
      <w:r w:rsidR="001D0E75">
        <w:t>desirability</w:t>
      </w:r>
      <w:r w:rsidR="00F354F2">
        <w:t xml:space="preserve"> </w:t>
      </w:r>
      <w:r w:rsidR="0071157F">
        <w:t>of combining specific actions. This study is a strategic analysis to identify groups of actions that may have high promise when combined.</w:t>
      </w:r>
    </w:p>
    <w:p w14:paraId="1FFA2191" w14:textId="61D0A921" w:rsidR="0071157F" w:rsidRDefault="0071157F" w:rsidP="00581647">
      <w:pPr>
        <w:ind w:firstLine="360"/>
      </w:pPr>
      <w:r>
        <w:t xml:space="preserve">This study updates and expands on the findings of </w:t>
      </w:r>
      <w:sdt>
        <w:sdtPr>
          <w:id w:val="880674123"/>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 xml:space="preserve">. It represents a snapshot of our progress towards the capability to (1) quantitatively analyze policies and </w:t>
      </w:r>
      <w:r>
        <w:lastRenderedPageBreak/>
        <w:t xml:space="preserve">funding decisions related to space sustainability, (2) assess interactions between active spacecraft and the effects of actions to coordinate space traffic, and (3) quantitatively analyze the effects of space sustainability actions on the incentives spacecraft operators </w:t>
      </w:r>
      <w:r w:rsidR="0082282B">
        <w:t xml:space="preserve">face </w:t>
      </w:r>
      <w:r>
        <w:t>to pursue particular technologies, behaviors, or orbital regimes.</w:t>
      </w:r>
    </w:p>
    <w:p w14:paraId="65D5F7DE" w14:textId="7BBAA43B" w:rsidR="0068116B" w:rsidRPr="00D2438E" w:rsidRDefault="0068116B" w:rsidP="0068116B">
      <w:pPr>
        <w:pStyle w:val="Heading1"/>
      </w:pPr>
      <w:bookmarkStart w:id="7" w:name="_Toc192166295"/>
      <w:r>
        <w:t>Methodology</w:t>
      </w:r>
      <w:bookmarkEnd w:id="7"/>
    </w:p>
    <w:p w14:paraId="240496DA" w14:textId="3F3CB1CA" w:rsidR="0028092F" w:rsidRPr="0028092F" w:rsidRDefault="00FB069C" w:rsidP="0018456A">
      <w:r>
        <w:t xml:space="preserve">For the purposes of this analysis, a </w:t>
      </w:r>
      <w:r>
        <w:rPr>
          <w:i/>
          <w:iCs/>
        </w:rPr>
        <w:t>portfolio</w:t>
      </w:r>
      <w:r>
        <w:t xml:space="preserve"> is a combination of space sustainability actions</w:t>
      </w:r>
      <w:r w:rsidR="00933DF1">
        <w:t xml:space="preserve">. </w:t>
      </w:r>
      <w:r w:rsidR="0028092F">
        <w:t xml:space="preserve">An </w:t>
      </w:r>
      <w:r w:rsidR="0028092F">
        <w:rPr>
          <w:i/>
          <w:iCs/>
        </w:rPr>
        <w:t>efficient</w:t>
      </w:r>
      <w:r w:rsidR="0028092F">
        <w:t xml:space="preserve"> portfolio is </w:t>
      </w:r>
      <w:r w:rsidR="00AB5AE1">
        <w:t>one</w:t>
      </w:r>
      <w:r w:rsidR="0028092F">
        <w:t xml:space="preserve"> which maximizes the </w:t>
      </w:r>
      <w:r w:rsidR="001E288F">
        <w:t xml:space="preserve">NPV of </w:t>
      </w:r>
      <w:r w:rsidR="00AB5AE1">
        <w:t xml:space="preserve">the </w:t>
      </w:r>
      <w:r w:rsidR="00A23526">
        <w:t>operating in the space environment</w:t>
      </w:r>
      <w:r w:rsidR="00441443">
        <w:t xml:space="preserve">, </w:t>
      </w:r>
      <w:r w:rsidR="00DA6173">
        <w:t>given</w:t>
      </w:r>
      <w:r w:rsidR="00441443">
        <w:t xml:space="preserve"> the analytical assumptions and </w:t>
      </w:r>
      <w:r w:rsidR="00DA6173">
        <w:t xml:space="preserve">any </w:t>
      </w:r>
      <w:r w:rsidR="00441443">
        <w:t>investment constraints</w:t>
      </w:r>
      <w:r w:rsidR="00DA6173">
        <w:t xml:space="preserve"> (e.g., </w:t>
      </w:r>
      <w:r w:rsidR="002538F2">
        <w:t>a requirement to use a particular technology)</w:t>
      </w:r>
      <w:r w:rsidR="00A23526">
        <w:t>.</w:t>
      </w:r>
      <w:r w:rsidR="00441443">
        <w:t xml:space="preserve"> This notion of efficiency is related to </w:t>
      </w:r>
      <w:r w:rsidR="009404B3">
        <w:t xml:space="preserve">financial </w:t>
      </w:r>
      <w:r w:rsidR="00B2466F">
        <w:t>portfolio management</w:t>
      </w:r>
      <w:r w:rsidR="009404B3">
        <w:t xml:space="preserve">, where </w:t>
      </w:r>
      <w:r w:rsidR="002538F2">
        <w:t xml:space="preserve">“efficient portfolios” are collections of </w:t>
      </w:r>
      <w:r w:rsidR="00CE4756">
        <w:t>securities</w:t>
      </w:r>
      <w:r w:rsidR="002538F2">
        <w:t xml:space="preserve"> that</w:t>
      </w:r>
      <w:r w:rsidR="009404B3">
        <w:t xml:space="preserve"> maximize the mean</w:t>
      </w:r>
      <w:r w:rsidR="00120183">
        <w:t xml:space="preserve"> portfolio</w:t>
      </w:r>
      <w:r w:rsidR="009404B3">
        <w:t xml:space="preserve"> return </w:t>
      </w:r>
      <w:r w:rsidR="00774B34">
        <w:t>given a certain</w:t>
      </w:r>
      <w:r w:rsidR="009404B3">
        <w:t xml:space="preserve"> variance in returns</w:t>
      </w:r>
      <w:r w:rsidR="00AD2CA6">
        <w:t xml:space="preserve"> </w:t>
      </w:r>
      <w:sdt>
        <w:sdtPr>
          <w:id w:val="-1262984410"/>
          <w:citation/>
        </w:sdtPr>
        <w:sdtEndPr/>
        <w:sdtContent>
          <w:r w:rsidR="00AD2CA6">
            <w:fldChar w:fldCharType="begin"/>
          </w:r>
          <w:r w:rsidR="00AD2CA6">
            <w:instrText xml:space="preserve"> CITATION Mar52 \l 1033 </w:instrText>
          </w:r>
          <w:r w:rsidR="00AD2CA6">
            <w:fldChar w:fldCharType="separate"/>
          </w:r>
          <w:r w:rsidR="00A466B0">
            <w:rPr>
              <w:noProof/>
            </w:rPr>
            <w:t>(Markowitz 1952)</w:t>
          </w:r>
          <w:r w:rsidR="00AD2CA6">
            <w:fldChar w:fldCharType="end"/>
          </w:r>
        </w:sdtContent>
      </w:sdt>
      <w:r w:rsidR="009404B3">
        <w:t>.</w:t>
      </w:r>
    </w:p>
    <w:p w14:paraId="63CE9D89" w14:textId="13780790" w:rsidR="00BC1E8D" w:rsidRDefault="002E5B78" w:rsidP="00581647">
      <w:pPr>
        <w:ind w:firstLine="360"/>
      </w:pPr>
      <w:r>
        <w:t xml:space="preserve">We constructed portfolios </w:t>
      </w:r>
      <w:r w:rsidR="008E6249">
        <w:t>to assess from combinations of a relatively small number of actions</w:t>
      </w:r>
      <w:r w:rsidR="00CE4756">
        <w:t xml:space="preserve"> to reduce </w:t>
      </w:r>
      <w:r w:rsidR="006A524E">
        <w:t>risk to spacecraft</w:t>
      </w:r>
      <w:r w:rsidR="008E6249">
        <w:t xml:space="preserve">. Each individual action had been assessed in the Phase 1 or Phase 2 reports. We focused here on actions that had (1) shown promise in either report, or (2) might be expected to display </w:t>
      </w:r>
      <w:r w:rsidR="00373EA2">
        <w:t>promise when combined with other actions considered.</w:t>
      </w:r>
      <w:r w:rsidR="0018456A">
        <w:t xml:space="preserve"> </w:t>
      </w:r>
    </w:p>
    <w:p w14:paraId="275AAC26" w14:textId="77777777" w:rsidR="00AF43C8" w:rsidRDefault="00AF43C8" w:rsidP="00AF43C8">
      <w:pPr>
        <w:pStyle w:val="Heading2"/>
      </w:pPr>
      <w:bookmarkStart w:id="8" w:name="_Toc192166296"/>
      <w:r>
        <w:t>Calculating the value of a portfolio</w:t>
      </w:r>
      <w:bookmarkEnd w:id="8"/>
    </w:p>
    <w:p w14:paraId="5C8B065E" w14:textId="77777777" w:rsidR="00AF43C8" w:rsidRDefault="00AF43C8" w:rsidP="00AF43C8">
      <w:r>
        <w:t xml:space="preserve">We calculate the value of investing in a portfolio of space sustainability actions as the net present value of the net benefits it generates, i.e., the discounted sum of annual benefits minus total annual costs. More formally, in year , a portfolio  generates benefits </w:t>
      </w:r>
      <w:r>
        <w:rPr>
          <w:rFonts w:eastAsiaTheme="minorEastAsia"/>
        </w:rPr>
        <w:t>, incurs running costs , and annualized up-front costs . The discount rate for year  is .</w:t>
      </w:r>
      <w:r>
        <w:t xml:space="preserve"> We calculate the NPV of a portfolio as:</w:t>
      </w:r>
    </w:p>
    <w:p w14:paraId="5C8038CF" w14:textId="77777777" w:rsidR="00AF43C8" w:rsidRDefault="00AF43C8" w:rsidP="00AF43C8"/>
    <w:p w14:paraId="3E105649" w14:textId="00802E2E" w:rsidR="00AF43C8" w:rsidRDefault="00AF43C8" w:rsidP="00581647">
      <w:pPr>
        <w:ind w:firstLine="360"/>
      </w:pPr>
      <w:r>
        <w:t xml:space="preserve">Figure </w:t>
      </w:r>
      <w:r w:rsidR="00796603">
        <w:t>1</w:t>
      </w:r>
      <w:r>
        <w:t xml:space="preserve"> shows an example using Model 2 of how the annual benefits of a portfolio consisting of only the PMD 0-year action are calculated from the difference in encounter risks under the portfolio and under the baseline “business-as-usual” case with no actions. The top</w:t>
      </w:r>
      <w:r w:rsidR="0097283F">
        <w:t>-left</w:t>
      </w:r>
      <w:r>
        <w:t xml:space="preserve"> panel</w:t>
      </w:r>
      <w:r w:rsidR="00796603">
        <w:t xml:space="preserve"> (panel A)</w:t>
      </w:r>
      <w:r>
        <w:t xml:space="preserve"> shows the annual encounter risks in the baseline scenario with no space sustainability actions and the annual encounter costs in the scenario when the PMD 0-year action is taken. The </w:t>
      </w:r>
      <w:r w:rsidR="0097283F">
        <w:t>top-right</w:t>
      </w:r>
      <w:r>
        <w:t xml:space="preserve"> panel</w:t>
      </w:r>
      <w:r w:rsidR="00796603">
        <w:t xml:space="preserve"> (panel B)</w:t>
      </w:r>
      <w:r>
        <w:t xml:space="preserve"> shows how the benefits of the PMD 0-year action are calculated from the encounter costs: the dashed line shows the undiscounted annual benefits (the difference between the baseline and PMD 0-year lines); the solid line shows the discounted annual benefits using the discount rate schedule given in Table </w:t>
      </w:r>
      <w:r w:rsidR="00AA1CDF">
        <w:t xml:space="preserve">4 </w:t>
      </w:r>
      <w:r>
        <w:t xml:space="preserve">(the kink at year 56 is due to shifting to a lower rate); and the shaded area shows the present value of annual benefits. In the NPV formula, the undiscounted benefits line corresponds to </w:t>
      </w:r>
      <w:r>
        <w:rPr>
          <w:rFonts w:eastAsiaTheme="minorEastAsia"/>
        </w:rPr>
        <w:t xml:space="preserve">, the discounted benefits line corresponds to , and the present value of annual benefits corresponds to . The </w:t>
      </w:r>
      <w:r>
        <w:rPr>
          <w:rFonts w:eastAsiaTheme="minorEastAsia"/>
        </w:rPr>
        <w:lastRenderedPageBreak/>
        <w:t>bottom</w:t>
      </w:r>
      <w:r w:rsidR="0097283F">
        <w:rPr>
          <w:rFonts w:eastAsiaTheme="minorEastAsia"/>
        </w:rPr>
        <w:t>-left</w:t>
      </w:r>
      <w:r>
        <w:rPr>
          <w:rFonts w:eastAsiaTheme="minorEastAsia"/>
        </w:rPr>
        <w:t xml:space="preserve"> panel</w:t>
      </w:r>
      <w:r w:rsidR="00796603">
        <w:rPr>
          <w:rFonts w:eastAsiaTheme="minorEastAsia"/>
        </w:rPr>
        <w:t xml:space="preserve"> (panel C)</w:t>
      </w:r>
      <w:r>
        <w:rPr>
          <w:rFonts w:eastAsiaTheme="minorEastAsia"/>
        </w:rPr>
        <w:t xml:space="preserve"> shows the annual portfolio costs associated with implementing the PMD 0-year action: the dashed line shows the undiscounted up-front costs (incurred between years 0 through 9, i.e., during the TTV period) and running costs (incurred after year 9, i.e., after the TTV period); the solid line shows the discounted up-front and running costs; and the shaded area shows the present value of annual costs. In the NPV formula, the undiscounted benefits line corresponds to , the discounted benefits line corresponds to , and the present value of annual costs corresponds to . The NPV</w:t>
      </w:r>
      <w:r w:rsidR="0097283F">
        <w:rPr>
          <w:rFonts w:eastAsiaTheme="minorEastAsia"/>
        </w:rPr>
        <w:t>, shown in the bottom-right panel</w:t>
      </w:r>
      <w:r w:rsidR="00796603">
        <w:rPr>
          <w:rFonts w:eastAsiaTheme="minorEastAsia"/>
        </w:rPr>
        <w:t xml:space="preserve"> (panel D)</w:t>
      </w:r>
      <w:r w:rsidR="0097283F">
        <w:rPr>
          <w:rFonts w:eastAsiaTheme="minorEastAsia"/>
        </w:rPr>
        <w:t>,</w:t>
      </w:r>
      <w:r>
        <w:rPr>
          <w:rFonts w:eastAsiaTheme="minorEastAsia"/>
        </w:rPr>
        <w:t xml:space="preserve"> is the difference between the present value of annual benefits (blue shaded area) and the present value of annual costs (orange shaded area).</w:t>
      </w:r>
    </w:p>
    <w:p w14:paraId="13CAF661" w14:textId="77777777" w:rsidR="00AF43C8" w:rsidRDefault="00AF43C8" w:rsidP="00AF43C8"/>
    <w:p w14:paraId="1FB3D7C8" w14:textId="77777777" w:rsidR="00796603" w:rsidRDefault="00A07AD0" w:rsidP="00796603">
      <w:pPr>
        <w:keepNext/>
      </w:pPr>
      <w:r>
        <w:rPr>
          <w:noProof/>
        </w:rPr>
        <w:drawing>
          <wp:inline distT="0" distB="0" distL="0" distR="0" wp14:anchorId="6A6B5B00" wp14:editId="63B70B4E">
            <wp:extent cx="5943600" cy="3169920"/>
            <wp:effectExtent l="0" t="0" r="0" b="5080"/>
            <wp:docPr id="1344265197" name="Picture 13442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65197" name="Picture 13442651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7A1C572B" w14:textId="4488491D" w:rsidR="00BC1E8D" w:rsidRDefault="00796603" w:rsidP="00796603">
      <w:pPr>
        <w:pStyle w:val="Caption"/>
      </w:pPr>
      <w:r>
        <w:t xml:space="preserve">Figure </w:t>
      </w:r>
      <w:r>
        <w:fldChar w:fldCharType="begin"/>
      </w:r>
      <w:r>
        <w:instrText xml:space="preserve"> SEQ Figure \* ARABIC </w:instrText>
      </w:r>
      <w:r>
        <w:fldChar w:fldCharType="separate"/>
      </w:r>
      <w:r w:rsidR="001F0D0C">
        <w:rPr>
          <w:noProof/>
        </w:rPr>
        <w:t>1</w:t>
      </w:r>
      <w:r>
        <w:rPr>
          <w:noProof/>
        </w:rPr>
        <w:fldChar w:fldCharType="end"/>
      </w:r>
      <w:r>
        <w:t>: Examples of steps in calculating the NPV of a portfolio.</w:t>
      </w:r>
    </w:p>
    <w:p w14:paraId="6495E0AB" w14:textId="27F01C38" w:rsidR="00B05777" w:rsidRDefault="003C2BD4" w:rsidP="00B05777">
      <w:pPr>
        <w:pStyle w:val="Heading2"/>
      </w:pPr>
      <w:bookmarkStart w:id="9" w:name="_Toc192166297"/>
      <w:r>
        <w:t>Landscape</w:t>
      </w:r>
      <w:r w:rsidR="00B05777">
        <w:t xml:space="preserve"> of actions</w:t>
      </w:r>
      <w:bookmarkEnd w:id="9"/>
    </w:p>
    <w:p w14:paraId="68F62339" w14:textId="14DF10DB" w:rsidR="0018456A" w:rsidRDefault="0018456A" w:rsidP="0018456A">
      <w:r>
        <w:t xml:space="preserve">Table </w:t>
      </w:r>
      <w:r w:rsidR="0083575E">
        <w:t>1</w:t>
      </w:r>
      <w:r>
        <w:t xml:space="preserve"> lists the actions used to construct portfolios in this report.</w:t>
      </w:r>
    </w:p>
    <w:p w14:paraId="4E477366" w14:textId="77777777" w:rsidR="00B63850" w:rsidRDefault="00B63850" w:rsidP="0018456A"/>
    <w:p w14:paraId="03B78BFE" w14:textId="7DD78458" w:rsidR="0083575E" w:rsidRDefault="0083575E" w:rsidP="0083575E">
      <w:pPr>
        <w:pStyle w:val="Caption"/>
        <w:keepNext/>
      </w:pPr>
      <w:r>
        <w:lastRenderedPageBreak/>
        <w:t xml:space="preserve">Table </w:t>
      </w:r>
      <w:r>
        <w:fldChar w:fldCharType="begin"/>
      </w:r>
      <w:r>
        <w:instrText xml:space="preserve"> SEQ Table \* ARABIC </w:instrText>
      </w:r>
      <w:r>
        <w:fldChar w:fldCharType="separate"/>
      </w:r>
      <w:r w:rsidR="001F0D0C">
        <w:rPr>
          <w:noProof/>
        </w:rPr>
        <w:t>1</w:t>
      </w:r>
      <w:r>
        <w:rPr>
          <w:noProof/>
        </w:rPr>
        <w:fldChar w:fldCharType="end"/>
      </w:r>
      <w:r>
        <w:t>: List of actions used to construct portfolios.</w:t>
      </w:r>
    </w:p>
    <w:tbl>
      <w:tblPr>
        <w:tblStyle w:val="OTPS"/>
        <w:tblW w:w="10080" w:type="dxa"/>
        <w:tblLayout w:type="fixed"/>
        <w:tblLook w:val="04A0" w:firstRow="1" w:lastRow="0" w:firstColumn="1" w:lastColumn="0" w:noHBand="0" w:noVBand="1"/>
      </w:tblPr>
      <w:tblGrid>
        <w:gridCol w:w="1710"/>
        <w:gridCol w:w="1890"/>
        <w:gridCol w:w="1440"/>
        <w:gridCol w:w="2610"/>
        <w:gridCol w:w="2430"/>
      </w:tblGrid>
      <w:tr w:rsidR="0018456A" w14:paraId="641D82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5B22BF5" w14:textId="77777777" w:rsidR="0018456A" w:rsidRDefault="0018456A">
            <w:pPr>
              <w:spacing w:before="192"/>
            </w:pPr>
            <w:r>
              <w:t>Action</w:t>
            </w:r>
          </w:p>
        </w:tc>
        <w:tc>
          <w:tcPr>
            <w:tcW w:w="1890" w:type="dxa"/>
          </w:tcPr>
          <w:p w14:paraId="5F4D1F35" w14:textId="77777777" w:rsidR="0018456A" w:rsidRDefault="0018456A">
            <w:pPr>
              <w:spacing w:before="192"/>
              <w:cnfStyle w:val="100000000000" w:firstRow="1" w:lastRow="0" w:firstColumn="0" w:lastColumn="0" w:oddVBand="0" w:evenVBand="0" w:oddHBand="0" w:evenHBand="0" w:firstRowFirstColumn="0" w:firstRowLastColumn="0" w:lastRowFirstColumn="0" w:lastRowLastColumn="0"/>
            </w:pPr>
            <w:r>
              <w:t>Category</w:t>
            </w:r>
          </w:p>
        </w:tc>
        <w:tc>
          <w:tcPr>
            <w:tcW w:w="1440" w:type="dxa"/>
          </w:tcPr>
          <w:p w14:paraId="2CB31FDA" w14:textId="77777777" w:rsidR="0018456A" w:rsidRDefault="0018456A">
            <w:pPr>
              <w:spacing w:before="192"/>
              <w:cnfStyle w:val="100000000000" w:firstRow="1" w:lastRow="0" w:firstColumn="0" w:lastColumn="0" w:oddVBand="0" w:evenVBand="0" w:oddHBand="0" w:evenHBand="0" w:firstRowFirstColumn="0" w:firstRowLastColumn="0" w:lastRowFirstColumn="0" w:lastRowLastColumn="0"/>
            </w:pPr>
            <w:r>
              <w:t>Short name</w:t>
            </w:r>
          </w:p>
        </w:tc>
        <w:tc>
          <w:tcPr>
            <w:tcW w:w="2610" w:type="dxa"/>
          </w:tcPr>
          <w:p w14:paraId="6ED9C1BD" w14:textId="77777777" w:rsidR="0018456A" w:rsidRDefault="0018456A">
            <w:pPr>
              <w:spacing w:before="192"/>
              <w:cnfStyle w:val="100000000000" w:firstRow="1" w:lastRow="0" w:firstColumn="0" w:lastColumn="0" w:oddVBand="0" w:evenVBand="0" w:oddHBand="0" w:evenHBand="0" w:firstRowFirstColumn="0" w:firstRowLastColumn="0" w:lastRowFirstColumn="0" w:lastRowLastColumn="0"/>
            </w:pPr>
            <w:r>
              <w:t>What the action does</w:t>
            </w:r>
          </w:p>
        </w:tc>
        <w:tc>
          <w:tcPr>
            <w:tcW w:w="2430" w:type="dxa"/>
          </w:tcPr>
          <w:p w14:paraId="32EA5DCE" w14:textId="77777777" w:rsidR="0018456A" w:rsidRDefault="0018456A">
            <w:pPr>
              <w:spacing w:before="192"/>
              <w:cnfStyle w:val="100000000000" w:firstRow="1" w:lastRow="0" w:firstColumn="0" w:lastColumn="0" w:oddVBand="0" w:evenVBand="0" w:oddHBand="0" w:evenHBand="0" w:firstRowFirstColumn="0" w:firstRowLastColumn="0" w:lastRowFirstColumn="0" w:lastRowLastColumn="0"/>
            </w:pPr>
            <w:r>
              <w:t>What happens if the action isn’t done</w:t>
            </w:r>
          </w:p>
        </w:tc>
      </w:tr>
      <w:tr w:rsidR="0018456A" w14:paraId="096EC312" w14:textId="77777777">
        <w:tc>
          <w:tcPr>
            <w:cnfStyle w:val="001000000000" w:firstRow="0" w:lastRow="0" w:firstColumn="1" w:lastColumn="0" w:oddVBand="0" w:evenVBand="0" w:oddHBand="0" w:evenHBand="0" w:firstRowFirstColumn="0" w:firstRowLastColumn="0" w:lastRowFirstColumn="0" w:lastRowLastColumn="0"/>
            <w:tcW w:w="1710" w:type="dxa"/>
          </w:tcPr>
          <w:p w14:paraId="5B15DABE" w14:textId="77777777" w:rsidR="0018456A" w:rsidRDefault="0018456A">
            <w:pPr>
              <w:jc w:val="center"/>
            </w:pPr>
            <w:r>
              <w:rPr>
                <w:rFonts w:ascii="Aptos Narrow" w:hAnsi="Aptos Narrow"/>
                <w:color w:val="000000"/>
              </w:rPr>
              <w:t>Shielding against 0.005m debris</w:t>
            </w:r>
          </w:p>
        </w:tc>
        <w:tc>
          <w:tcPr>
            <w:tcW w:w="1890" w:type="dxa"/>
          </w:tcPr>
          <w:p w14:paraId="7075920C"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Mitigation</w:t>
            </w:r>
          </w:p>
        </w:tc>
        <w:tc>
          <w:tcPr>
            <w:tcW w:w="1440" w:type="dxa"/>
          </w:tcPr>
          <w:p w14:paraId="6970CD32"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5mm shielding</w:t>
            </w:r>
          </w:p>
        </w:tc>
        <w:tc>
          <w:tcPr>
            <w:tcW w:w="2610" w:type="dxa"/>
          </w:tcPr>
          <w:p w14:paraId="277CD427"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All spacecraft are given shielding against strikes from debris 5mm or smaller</w:t>
            </w:r>
          </w:p>
        </w:tc>
        <w:tc>
          <w:tcPr>
            <w:tcW w:w="2430" w:type="dxa"/>
          </w:tcPr>
          <w:p w14:paraId="7AE39F9A"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All spacecraft are only shielded against strikes from debris 1mm or smaller</w:t>
            </w:r>
          </w:p>
        </w:tc>
      </w:tr>
      <w:tr w:rsidR="0018456A" w14:paraId="23E0047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93E4135" w14:textId="77777777" w:rsidR="0018456A" w:rsidRDefault="0018456A">
            <w:pPr>
              <w:jc w:val="center"/>
            </w:pPr>
            <w:r>
              <w:rPr>
                <w:rFonts w:ascii="Aptos Narrow" w:hAnsi="Aptos Narrow"/>
                <w:color w:val="000000"/>
              </w:rPr>
              <w:t>5-year propulsive post-mission disposal</w:t>
            </w:r>
          </w:p>
        </w:tc>
        <w:tc>
          <w:tcPr>
            <w:tcW w:w="1890" w:type="dxa"/>
          </w:tcPr>
          <w:p w14:paraId="64588CE1"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Mitigation</w:t>
            </w:r>
          </w:p>
        </w:tc>
        <w:tc>
          <w:tcPr>
            <w:tcW w:w="1440" w:type="dxa"/>
          </w:tcPr>
          <w:p w14:paraId="342192E5"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5-year PMD</w:t>
            </w:r>
          </w:p>
        </w:tc>
        <w:tc>
          <w:tcPr>
            <w:tcW w:w="2610" w:type="dxa"/>
          </w:tcPr>
          <w:p w14:paraId="070D1809"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 xml:space="preserve">90% of spacecraft with propulsion systems </w:t>
            </w:r>
            <w:r w:rsidRPr="0088108A">
              <w:t>(~78%)</w:t>
            </w:r>
            <w:r>
              <w:t xml:space="preserve"> move to the highest circular orbit with a 5-year decay timeline (550 km)</w:t>
            </w:r>
          </w:p>
        </w:tc>
        <w:tc>
          <w:tcPr>
            <w:tcW w:w="2430" w:type="dxa"/>
          </w:tcPr>
          <w:p w14:paraId="1C5FD7A1"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 xml:space="preserve">90% of spacecraft with propulsion systems move to the highest circular orbit with a 25-year decay timeline (550 km) </w:t>
            </w:r>
          </w:p>
        </w:tc>
      </w:tr>
      <w:tr w:rsidR="0018456A" w14:paraId="15707AC6" w14:textId="77777777">
        <w:tc>
          <w:tcPr>
            <w:cnfStyle w:val="001000000000" w:firstRow="0" w:lastRow="0" w:firstColumn="1" w:lastColumn="0" w:oddVBand="0" w:evenVBand="0" w:oddHBand="0" w:evenHBand="0" w:firstRowFirstColumn="0" w:firstRowLastColumn="0" w:lastRowFirstColumn="0" w:lastRowLastColumn="0"/>
            <w:tcW w:w="1710" w:type="dxa"/>
          </w:tcPr>
          <w:p w14:paraId="64184649" w14:textId="77777777" w:rsidR="0018456A" w:rsidRDefault="0018456A">
            <w:pPr>
              <w:jc w:val="center"/>
            </w:pPr>
            <w:r>
              <w:rPr>
                <w:rFonts w:ascii="Aptos Narrow" w:hAnsi="Aptos Narrow"/>
                <w:color w:val="000000"/>
              </w:rPr>
              <w:t>0-year propulsive post-mission disposal</w:t>
            </w:r>
          </w:p>
        </w:tc>
        <w:tc>
          <w:tcPr>
            <w:tcW w:w="1890" w:type="dxa"/>
          </w:tcPr>
          <w:p w14:paraId="124D3E6E"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Mitigation</w:t>
            </w:r>
          </w:p>
        </w:tc>
        <w:tc>
          <w:tcPr>
            <w:tcW w:w="1440" w:type="dxa"/>
          </w:tcPr>
          <w:p w14:paraId="3860C89E"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0-year PMD</w:t>
            </w:r>
          </w:p>
        </w:tc>
        <w:tc>
          <w:tcPr>
            <w:tcW w:w="2610" w:type="dxa"/>
          </w:tcPr>
          <w:p w14:paraId="73FD3A40"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Same as above but highest circular orbit with a 0-year decay timeline (300 km)</w:t>
            </w:r>
          </w:p>
        </w:tc>
        <w:tc>
          <w:tcPr>
            <w:tcW w:w="2430" w:type="dxa"/>
          </w:tcPr>
          <w:p w14:paraId="54B095D2" w14:textId="5078589A" w:rsidR="0018456A" w:rsidRDefault="00B743C3">
            <w:pPr>
              <w:jc w:val="center"/>
              <w:cnfStyle w:val="000000000000" w:firstRow="0" w:lastRow="0" w:firstColumn="0" w:lastColumn="0" w:oddVBand="0" w:evenVBand="0" w:oddHBand="0" w:evenHBand="0" w:firstRowFirstColumn="0" w:firstRowLastColumn="0" w:lastRowFirstColumn="0" w:lastRowLastColumn="0"/>
            </w:pPr>
            <w:r>
              <w:t>90% of spacecraft with propulsion systems move to the highest circular orbit with a 25-year decay timeline (550 km)</w:t>
            </w:r>
          </w:p>
        </w:tc>
      </w:tr>
      <w:tr w:rsidR="0018456A" w14:paraId="47C2A63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722BD79" w14:textId="77777777" w:rsidR="0018456A" w:rsidRDefault="0018456A">
            <w:pPr>
              <w:jc w:val="center"/>
            </w:pPr>
            <w:r>
              <w:rPr>
                <w:rFonts w:ascii="Aptos Narrow" w:hAnsi="Aptos Narrow"/>
                <w:color w:val="000000"/>
              </w:rPr>
              <w:t>Passivation of electrical and propellant</w:t>
            </w:r>
          </w:p>
        </w:tc>
        <w:tc>
          <w:tcPr>
            <w:tcW w:w="1890" w:type="dxa"/>
          </w:tcPr>
          <w:p w14:paraId="2ACB7FA2"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Mitigation</w:t>
            </w:r>
          </w:p>
        </w:tc>
        <w:tc>
          <w:tcPr>
            <w:tcW w:w="1440" w:type="dxa"/>
          </w:tcPr>
          <w:p w14:paraId="5BEC37ED"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Passivation</w:t>
            </w:r>
          </w:p>
        </w:tc>
        <w:tc>
          <w:tcPr>
            <w:tcW w:w="2610" w:type="dxa"/>
          </w:tcPr>
          <w:p w14:paraId="102A6348"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Conventional satellite batteries are replaced with those more robust to thermal runaway, and pyrotechnic valves vent pressurized propellant</w:t>
            </w:r>
          </w:p>
        </w:tc>
        <w:tc>
          <w:tcPr>
            <w:tcW w:w="2430" w:type="dxa"/>
          </w:tcPr>
          <w:p w14:paraId="452F6F03"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No changes to batteries or valves, explosion risk is not reduced</w:t>
            </w:r>
          </w:p>
        </w:tc>
      </w:tr>
      <w:tr w:rsidR="0018456A" w14:paraId="713B1376" w14:textId="77777777">
        <w:tc>
          <w:tcPr>
            <w:cnfStyle w:val="001000000000" w:firstRow="0" w:lastRow="0" w:firstColumn="1" w:lastColumn="0" w:oddVBand="0" w:evenVBand="0" w:oddHBand="0" w:evenHBand="0" w:firstRowFirstColumn="0" w:firstRowLastColumn="0" w:lastRowFirstColumn="0" w:lastRowLastColumn="0"/>
            <w:tcW w:w="1710" w:type="dxa"/>
            <w:vAlign w:val="bottom"/>
          </w:tcPr>
          <w:p w14:paraId="116FB446" w14:textId="77777777" w:rsidR="0018456A" w:rsidRDefault="0018456A">
            <w:r>
              <w:rPr>
                <w:rFonts w:ascii="Aptos Narrow" w:hAnsi="Aptos Narrow"/>
                <w:color w:val="000000"/>
              </w:rPr>
              <w:t>Improved tracking of large objects</w:t>
            </w:r>
          </w:p>
        </w:tc>
        <w:tc>
          <w:tcPr>
            <w:tcW w:w="1890" w:type="dxa"/>
          </w:tcPr>
          <w:p w14:paraId="05639390"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Tracking</w:t>
            </w:r>
          </w:p>
        </w:tc>
        <w:tc>
          <w:tcPr>
            <w:tcW w:w="1440" w:type="dxa"/>
          </w:tcPr>
          <w:p w14:paraId="58209C48"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Laser ranging</w:t>
            </w:r>
          </w:p>
        </w:tc>
        <w:tc>
          <w:tcPr>
            <w:tcW w:w="2610" w:type="dxa"/>
          </w:tcPr>
          <w:p w14:paraId="76184CFF" w14:textId="3CE51957" w:rsidR="0018456A" w:rsidRDefault="0018456A">
            <w:pPr>
              <w:jc w:val="center"/>
              <w:cnfStyle w:val="000000000000" w:firstRow="0" w:lastRow="0" w:firstColumn="0" w:lastColumn="0" w:oddVBand="0" w:evenVBand="0" w:oddHBand="0" w:evenHBand="0" w:firstRowFirstColumn="0" w:firstRowLastColumn="0" w:lastRowFirstColumn="0" w:lastRowLastColumn="0"/>
            </w:pPr>
            <w:r>
              <w:t xml:space="preserve">A network of 5 satellite laser ranging stations to maintain total custody and reduce </w:t>
            </w:r>
            <w:r w:rsidR="00C35799">
              <w:t>false positive conjunction predictions with tracked objects by</w:t>
            </w:r>
            <w:r>
              <w:t xml:space="preserve"> 100x</w:t>
            </w:r>
          </w:p>
        </w:tc>
        <w:tc>
          <w:tcPr>
            <w:tcW w:w="2430" w:type="dxa"/>
          </w:tcPr>
          <w:p w14:paraId="1D4EC07C" w14:textId="2F69BC3B" w:rsidR="0018456A" w:rsidRDefault="00F1250B">
            <w:pPr>
              <w:jc w:val="center"/>
              <w:cnfStyle w:val="000000000000" w:firstRow="0" w:lastRow="0" w:firstColumn="0" w:lastColumn="0" w:oddVBand="0" w:evenVBand="0" w:oddHBand="0" w:evenHBand="0" w:firstRowFirstColumn="0" w:firstRowLastColumn="0" w:lastRowFirstColumn="0" w:lastRowLastColumn="0"/>
            </w:pPr>
            <w:r>
              <w:t>No changes to current tracking uncertainties</w:t>
            </w:r>
          </w:p>
        </w:tc>
      </w:tr>
      <w:tr w:rsidR="0018456A" w14:paraId="5768506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02667B79" w14:textId="77777777" w:rsidR="0018456A" w:rsidRDefault="0018456A">
            <w:pPr>
              <w:rPr>
                <w:rFonts w:ascii="Aptos Narrow" w:hAnsi="Aptos Narrow"/>
                <w:color w:val="000000"/>
              </w:rPr>
            </w:pPr>
            <w:r>
              <w:rPr>
                <w:rFonts w:ascii="Aptos Narrow" w:hAnsi="Aptos Narrow"/>
                <w:color w:val="000000"/>
              </w:rPr>
              <w:lastRenderedPageBreak/>
              <w:t>Improved tracking of large objects and tracking cm debris</w:t>
            </w:r>
          </w:p>
        </w:tc>
        <w:tc>
          <w:tcPr>
            <w:tcW w:w="1890" w:type="dxa"/>
          </w:tcPr>
          <w:p w14:paraId="309B901F"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Tracking</w:t>
            </w:r>
          </w:p>
        </w:tc>
        <w:tc>
          <w:tcPr>
            <w:tcW w:w="1440" w:type="dxa"/>
          </w:tcPr>
          <w:p w14:paraId="5AF4D3D2"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 xml:space="preserve">Laser ranging and 2 new Space Fences </w:t>
            </w:r>
          </w:p>
        </w:tc>
        <w:tc>
          <w:tcPr>
            <w:tcW w:w="2610" w:type="dxa"/>
          </w:tcPr>
          <w:p w14:paraId="7D6F18F8"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Same laser ranging network paired with 2 new Space Fence-like systems</w:t>
            </w:r>
          </w:p>
        </w:tc>
        <w:tc>
          <w:tcPr>
            <w:tcW w:w="2430" w:type="dxa"/>
          </w:tcPr>
          <w:p w14:paraId="2A1DE1B3" w14:textId="13A7227E" w:rsidR="0018456A" w:rsidRDefault="00F1250B">
            <w:pPr>
              <w:jc w:val="center"/>
              <w:cnfStyle w:val="000000010000" w:firstRow="0" w:lastRow="0" w:firstColumn="0" w:lastColumn="0" w:oddVBand="0" w:evenVBand="0" w:oddHBand="0" w:evenHBand="1" w:firstRowFirstColumn="0" w:firstRowLastColumn="0" w:lastRowFirstColumn="0" w:lastRowLastColumn="0"/>
            </w:pPr>
            <w:r>
              <w:t>Objects smaller than 10 cm are not tracked and cannot be maneuvered around</w:t>
            </w:r>
          </w:p>
        </w:tc>
      </w:tr>
      <w:tr w:rsidR="0018456A" w14:paraId="7BD08A68" w14:textId="77777777">
        <w:tc>
          <w:tcPr>
            <w:cnfStyle w:val="001000000000" w:firstRow="0" w:lastRow="0" w:firstColumn="1" w:lastColumn="0" w:oddVBand="0" w:evenVBand="0" w:oddHBand="0" w:evenHBand="0" w:firstRowFirstColumn="0" w:firstRowLastColumn="0" w:lastRowFirstColumn="0" w:lastRowLastColumn="0"/>
            <w:tcW w:w="1710" w:type="dxa"/>
            <w:vAlign w:val="bottom"/>
          </w:tcPr>
          <w:p w14:paraId="57E0E74A" w14:textId="77777777" w:rsidR="0018456A" w:rsidRDefault="0018456A">
            <w:r>
              <w:rPr>
                <w:rFonts w:ascii="Aptos Narrow" w:hAnsi="Aptos Narrow"/>
                <w:color w:val="000000"/>
              </w:rPr>
              <w:t>Laser nudging for just-in-time collision avoidance</w:t>
            </w:r>
          </w:p>
        </w:tc>
        <w:tc>
          <w:tcPr>
            <w:tcW w:w="1890" w:type="dxa"/>
          </w:tcPr>
          <w:p w14:paraId="6A15EF5A"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Remediation</w:t>
            </w:r>
          </w:p>
        </w:tc>
        <w:tc>
          <w:tcPr>
            <w:tcW w:w="1440" w:type="dxa"/>
          </w:tcPr>
          <w:p w14:paraId="668C37FE"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Laser JCA</w:t>
            </w:r>
          </w:p>
        </w:tc>
        <w:tc>
          <w:tcPr>
            <w:tcW w:w="2610" w:type="dxa"/>
          </w:tcPr>
          <w:p w14:paraId="2C4D057C" w14:textId="5A95D029" w:rsidR="0018456A" w:rsidRDefault="0018456A">
            <w:pPr>
              <w:jc w:val="center"/>
              <w:cnfStyle w:val="000000000000" w:firstRow="0" w:lastRow="0" w:firstColumn="0" w:lastColumn="0" w:oddVBand="0" w:evenVBand="0" w:oddHBand="0" w:evenHBand="0" w:firstRowFirstColumn="0" w:firstRowLastColumn="0" w:lastRowFirstColumn="0" w:lastRowLastColumn="0"/>
            </w:pPr>
            <w:r>
              <w:t xml:space="preserve">A ground-based tracking and laser system “pings” large debris before predicted high-risk conjunctions with enough </w:t>
            </w:r>
            <w:r>
              <w:rPr>
                <w:rFonts w:eastAsiaTheme="minorEastAsia"/>
              </w:rPr>
              <w:t xml:space="preserve"> to alter their orbits and reduce risk to a tolerable level</w:t>
            </w:r>
          </w:p>
        </w:tc>
        <w:tc>
          <w:tcPr>
            <w:tcW w:w="2430" w:type="dxa"/>
          </w:tcPr>
          <w:p w14:paraId="21D82357" w14:textId="3872479A" w:rsidR="0018456A" w:rsidRDefault="00762F5A">
            <w:pPr>
              <w:jc w:val="center"/>
              <w:cnfStyle w:val="000000000000" w:firstRow="0" w:lastRow="0" w:firstColumn="0" w:lastColumn="0" w:oddVBand="0" w:evenVBand="0" w:oddHBand="0" w:evenHBand="0" w:firstRowFirstColumn="0" w:firstRowLastColumn="0" w:lastRowFirstColumn="0" w:lastRowLastColumn="0"/>
            </w:pPr>
            <w:r>
              <w:t>The only way to avoid predicted conjunctions with large objects is for active satellites to maneuver</w:t>
            </w:r>
          </w:p>
        </w:tc>
      </w:tr>
      <w:tr w:rsidR="0018456A" w14:paraId="72901C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0A5AB4C4" w14:textId="77777777" w:rsidR="0018456A" w:rsidRDefault="0018456A">
            <w:r>
              <w:rPr>
                <w:rFonts w:ascii="Aptos Narrow" w:hAnsi="Aptos Narrow"/>
                <w:color w:val="000000"/>
              </w:rPr>
              <w:t>Uncontrolled reentry of large objects</w:t>
            </w:r>
          </w:p>
        </w:tc>
        <w:tc>
          <w:tcPr>
            <w:tcW w:w="1890" w:type="dxa"/>
          </w:tcPr>
          <w:p w14:paraId="54D575C7"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Remediation</w:t>
            </w:r>
          </w:p>
        </w:tc>
        <w:tc>
          <w:tcPr>
            <w:tcW w:w="1440" w:type="dxa"/>
          </w:tcPr>
          <w:p w14:paraId="1C144470"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ADR</w:t>
            </w:r>
          </w:p>
        </w:tc>
        <w:tc>
          <w:tcPr>
            <w:tcW w:w="2610" w:type="dxa"/>
          </w:tcPr>
          <w:p w14:paraId="50923ACD"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One servicer removes 5 large objects per year in the Phase 1 Orbit Fab CONOPS</w:t>
            </w:r>
          </w:p>
        </w:tc>
        <w:tc>
          <w:tcPr>
            <w:tcW w:w="2430" w:type="dxa"/>
          </w:tcPr>
          <w:p w14:paraId="14E6BA91" w14:textId="79B64E8C" w:rsidR="0018456A" w:rsidRDefault="00AD04BF">
            <w:pPr>
              <w:jc w:val="center"/>
              <w:cnfStyle w:val="000000010000" w:firstRow="0" w:lastRow="0" w:firstColumn="0" w:lastColumn="0" w:oddVBand="0" w:evenVBand="0" w:oddHBand="0" w:evenHBand="1" w:firstRowFirstColumn="0" w:firstRowLastColumn="0" w:lastRowFirstColumn="0" w:lastRowLastColumn="0"/>
            </w:pPr>
            <w:r>
              <w:t>Large objects are not removed</w:t>
            </w:r>
          </w:p>
        </w:tc>
      </w:tr>
      <w:tr w:rsidR="0018456A" w14:paraId="4ABFF621" w14:textId="77777777">
        <w:tc>
          <w:tcPr>
            <w:cnfStyle w:val="001000000000" w:firstRow="0" w:lastRow="0" w:firstColumn="1" w:lastColumn="0" w:oddVBand="0" w:evenVBand="0" w:oddHBand="0" w:evenHBand="0" w:firstRowFirstColumn="0" w:firstRowLastColumn="0" w:lastRowFirstColumn="0" w:lastRowLastColumn="0"/>
            <w:tcW w:w="1710" w:type="dxa"/>
            <w:vAlign w:val="bottom"/>
          </w:tcPr>
          <w:p w14:paraId="1D9B7937" w14:textId="77777777" w:rsidR="0018456A" w:rsidRDefault="0018456A">
            <w:r>
              <w:rPr>
                <w:rFonts w:ascii="Aptos Narrow" w:hAnsi="Aptos Narrow"/>
                <w:color w:val="000000"/>
              </w:rPr>
              <w:t>Dust deployment to remove mm debris</w:t>
            </w:r>
          </w:p>
        </w:tc>
        <w:tc>
          <w:tcPr>
            <w:tcW w:w="1890" w:type="dxa"/>
          </w:tcPr>
          <w:p w14:paraId="7085FD62"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Remediation</w:t>
            </w:r>
          </w:p>
        </w:tc>
        <w:tc>
          <w:tcPr>
            <w:tcW w:w="1440" w:type="dxa"/>
          </w:tcPr>
          <w:p w14:paraId="5F56809A" w14:textId="77777777" w:rsidR="0018456A" w:rsidRDefault="0018456A">
            <w:pPr>
              <w:jc w:val="center"/>
              <w:cnfStyle w:val="000000000000" w:firstRow="0" w:lastRow="0" w:firstColumn="0" w:lastColumn="0" w:oddVBand="0" w:evenVBand="0" w:oddHBand="0" w:evenHBand="0" w:firstRowFirstColumn="0" w:firstRowLastColumn="0" w:lastRowFirstColumn="0" w:lastRowLastColumn="0"/>
            </w:pPr>
            <w:r>
              <w:t>Small debris removal (dust, mm)</w:t>
            </w:r>
          </w:p>
        </w:tc>
        <w:tc>
          <w:tcPr>
            <w:tcW w:w="2610" w:type="dxa"/>
          </w:tcPr>
          <w:p w14:paraId="14907248" w14:textId="196F0CB7" w:rsidR="0018456A" w:rsidRDefault="0018456A">
            <w:pPr>
              <w:jc w:val="center"/>
              <w:cnfStyle w:val="000000000000" w:firstRow="0" w:lastRow="0" w:firstColumn="0" w:lastColumn="0" w:oddVBand="0" w:evenVBand="0" w:oddHBand="0" w:evenHBand="0" w:firstRowFirstColumn="0" w:firstRowLastColumn="0" w:lastRowFirstColumn="0" w:lastRowLastColumn="0"/>
              <w:rPr>
                <w:highlight w:val="yellow"/>
              </w:rPr>
            </w:pPr>
            <w:r>
              <w:t xml:space="preserve">One-time deployment that </w:t>
            </w:r>
            <w:r w:rsidR="00AD04BF">
              <w:t>removes</w:t>
            </w:r>
            <w:r w:rsidR="00F74BDC">
              <w:t xml:space="preserve"> all debris with mass-to-area ratios &lt;5 </w:t>
            </w:r>
            <w:r w:rsidR="00182E6E">
              <w:t>from orbits of 1100 km and lower.</w:t>
            </w:r>
          </w:p>
        </w:tc>
        <w:tc>
          <w:tcPr>
            <w:tcW w:w="2430" w:type="dxa"/>
          </w:tcPr>
          <w:p w14:paraId="047D01F0" w14:textId="079734CD" w:rsidR="0018456A" w:rsidRDefault="00182E6E">
            <w:pPr>
              <w:jc w:val="center"/>
              <w:cnfStyle w:val="000000000000" w:firstRow="0" w:lastRow="0" w:firstColumn="0" w:lastColumn="0" w:oddVBand="0" w:evenVBand="0" w:oddHBand="0" w:evenHBand="0" w:firstRowFirstColumn="0" w:firstRowLastColumn="0" w:lastRowFirstColumn="0" w:lastRowLastColumn="0"/>
            </w:pPr>
            <w:r>
              <w:t>Debris with mass-to-area ratios &lt;5 are not removed from orbits of 1100 km and lower</w:t>
            </w:r>
          </w:p>
        </w:tc>
      </w:tr>
      <w:tr w:rsidR="0018456A" w14:paraId="712843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415234B1" w14:textId="77777777" w:rsidR="0018456A" w:rsidRDefault="0018456A">
            <w:r>
              <w:rPr>
                <w:rFonts w:ascii="Aptos Narrow" w:hAnsi="Aptos Narrow"/>
                <w:color w:val="000000"/>
              </w:rPr>
              <w:t>Ground-based lasers to remove cm debris</w:t>
            </w:r>
          </w:p>
        </w:tc>
        <w:tc>
          <w:tcPr>
            <w:tcW w:w="1890" w:type="dxa"/>
          </w:tcPr>
          <w:p w14:paraId="09BC48F0"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Remediation</w:t>
            </w:r>
          </w:p>
        </w:tc>
        <w:tc>
          <w:tcPr>
            <w:tcW w:w="1440" w:type="dxa"/>
          </w:tcPr>
          <w:p w14:paraId="1746E27A"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Small debris removal (laser, cm)</w:t>
            </w:r>
          </w:p>
        </w:tc>
        <w:tc>
          <w:tcPr>
            <w:tcW w:w="2610" w:type="dxa"/>
          </w:tcPr>
          <w:p w14:paraId="156B1A25" w14:textId="77777777" w:rsidR="0018456A" w:rsidRDefault="0018456A">
            <w:pPr>
              <w:jc w:val="center"/>
              <w:cnfStyle w:val="000000010000" w:firstRow="0" w:lastRow="0" w:firstColumn="0" w:lastColumn="0" w:oddVBand="0" w:evenVBand="0" w:oddHBand="0" w:evenHBand="1" w:firstRowFirstColumn="0" w:firstRowLastColumn="0" w:lastRowFirstColumn="0" w:lastRowLastColumn="0"/>
            </w:pPr>
            <w:r>
              <w:t>Uses same system as Laser JCA to deorbit cm-sized debris</w:t>
            </w:r>
          </w:p>
        </w:tc>
        <w:tc>
          <w:tcPr>
            <w:tcW w:w="2430" w:type="dxa"/>
          </w:tcPr>
          <w:p w14:paraId="48D6BD48" w14:textId="2680521D" w:rsidR="0018456A" w:rsidRDefault="003778BA">
            <w:pPr>
              <w:jc w:val="center"/>
              <w:cnfStyle w:val="000000010000" w:firstRow="0" w:lastRow="0" w:firstColumn="0" w:lastColumn="0" w:oddVBand="0" w:evenVBand="0" w:oddHBand="0" w:evenHBand="1" w:firstRowFirstColumn="0" w:firstRowLastColumn="0" w:lastRowFirstColumn="0" w:lastRowLastColumn="0"/>
            </w:pPr>
            <w:r>
              <w:t xml:space="preserve">Cm-sized debris </w:t>
            </w:r>
            <w:r w:rsidR="002B1515">
              <w:t xml:space="preserve">deorbits as it </w:t>
            </w:r>
            <w:r w:rsidR="00B77589">
              <w:t>normally would</w:t>
            </w:r>
          </w:p>
        </w:tc>
      </w:tr>
    </w:tbl>
    <w:p w14:paraId="2381722F" w14:textId="2D38E150" w:rsidR="00B074FC" w:rsidRDefault="00B074FC" w:rsidP="00B074FC">
      <w:r>
        <w:t>We implement each action as in the Phase 2 report with minor changes</w:t>
      </w:r>
      <w:r w:rsidR="00541A96">
        <w:t xml:space="preserve">, many of which are to reduce computational </w:t>
      </w:r>
      <w:r w:rsidR="008D70C2">
        <w:t>burden given the combinatorial nature of this study</w:t>
      </w:r>
      <w:r>
        <w:t>. We briefly describe the changes below:</w:t>
      </w:r>
    </w:p>
    <w:p w14:paraId="38063A02" w14:textId="2F5852E3" w:rsidR="00B074FC" w:rsidRDefault="00B074FC" w:rsidP="00B074FC">
      <w:pPr>
        <w:pStyle w:val="ListParagraph"/>
        <w:numPr>
          <w:ilvl w:val="0"/>
          <w:numId w:val="28"/>
        </w:numPr>
      </w:pPr>
      <w:r>
        <w:lastRenderedPageBreak/>
        <w:t xml:space="preserve">The Phase 2 report considered 25-year post-mission disposal with 90% success as a distinct action. In this report, we assume </w:t>
      </w:r>
      <w:r w:rsidR="00AA7EA8">
        <w:t>the 25-year rule as a baseline:</w:t>
      </w:r>
      <w:r>
        <w:t xml:space="preserve"> </w:t>
      </w:r>
      <w:r w:rsidRPr="008E141B">
        <w:t xml:space="preserve">that 90% of spacecraft </w:t>
      </w:r>
      <w:r>
        <w:t xml:space="preserve">with propulsion capability </w:t>
      </w:r>
      <w:r w:rsidRPr="008E141B">
        <w:t>successfully use</w:t>
      </w:r>
      <w:r>
        <w:t xml:space="preserve"> that propulsion system to safely maneuver to the highest orbit consistent with 25-year disposal at the end of their mission as part of the baseline.</w:t>
      </w:r>
    </w:p>
    <w:p w14:paraId="61EC3CC3" w14:textId="77777777" w:rsidR="00B074FC" w:rsidRDefault="00B074FC" w:rsidP="00B074FC">
      <w:pPr>
        <w:pStyle w:val="ListParagraph"/>
        <w:numPr>
          <w:ilvl w:val="1"/>
          <w:numId w:val="28"/>
        </w:numPr>
      </w:pPr>
      <w:r>
        <w:t xml:space="preserve">Note that as in the Phase 2 report, we apply propulsive PMD only to spacecraft that already have propulsion systems (about 78% of spacecraft). The rest are assumed to fail in place. </w:t>
      </w:r>
    </w:p>
    <w:p w14:paraId="3EE3DD1B" w14:textId="77777777" w:rsidR="00B074FC" w:rsidRDefault="00B074FC" w:rsidP="00B074FC">
      <w:pPr>
        <w:pStyle w:val="ListParagraph"/>
        <w:numPr>
          <w:ilvl w:val="0"/>
          <w:numId w:val="28"/>
        </w:numPr>
      </w:pPr>
      <w:r>
        <w:t xml:space="preserve">The Phase 2 report analyzed post-mission disposal actions using propulsion and drag sails. We only consider one of those actions, propulsive post-mission disposal. This is not an assessment of the merit of either approach; given time and computational resources we had to reduce the number of actions analyzed and selected a single PMD action. </w:t>
      </w:r>
    </w:p>
    <w:p w14:paraId="46A62D99" w14:textId="3E7F8BA4" w:rsidR="00B074FC" w:rsidRDefault="00B074FC" w:rsidP="00B074FC">
      <w:pPr>
        <w:pStyle w:val="ListParagraph"/>
        <w:numPr>
          <w:ilvl w:val="1"/>
          <w:numId w:val="28"/>
        </w:numPr>
      </w:pPr>
      <w:r>
        <w:t xml:space="preserve">The Phase 2 report bounded the costs of propulsive PMD assuming all spacecraft had electric propulsion (low cost) or all spacecraft had monoprop (high cost). The truth is somewhere in between. We use the </w:t>
      </w:r>
      <w:r w:rsidR="00C20D2F">
        <w:t>low-cost</w:t>
      </w:r>
      <w:r>
        <w:t xml:space="preserve"> estimate here.</w:t>
      </w:r>
    </w:p>
    <w:p w14:paraId="703029C9" w14:textId="3C2C7DB0" w:rsidR="00B074FC" w:rsidRDefault="00B074FC" w:rsidP="00B074FC">
      <w:pPr>
        <w:pStyle w:val="ListParagraph"/>
        <w:numPr>
          <w:ilvl w:val="0"/>
          <w:numId w:val="28"/>
        </w:numPr>
      </w:pPr>
      <w:r>
        <w:t xml:space="preserve">We only consider PMD </w:t>
      </w:r>
      <w:r w:rsidR="00541A96">
        <w:t xml:space="preserve">for </w:t>
      </w:r>
      <w:r>
        <w:t xml:space="preserve">0-year and 5-year </w:t>
      </w:r>
      <w:r w:rsidR="00541A96">
        <w:t>rules</w:t>
      </w:r>
      <w:r>
        <w:t>. This is both for computational tractability and relevance: 5-year PMD is currently being assessed by the FCC and 0-year PMD is listed as the preferred option under NASA’s Orbital Debris Mitigation Standard Practices. Recall that the baseline option we compare these against is a uniform 25-year requirement.</w:t>
      </w:r>
    </w:p>
    <w:p w14:paraId="02BFF0BF" w14:textId="77777777" w:rsidR="00B074FC" w:rsidRDefault="00B074FC" w:rsidP="00B074FC">
      <w:pPr>
        <w:pStyle w:val="ListParagraph"/>
        <w:numPr>
          <w:ilvl w:val="1"/>
          <w:numId w:val="28"/>
        </w:numPr>
      </w:pPr>
      <w:r>
        <w:t>As in the Phase 2 report, we assume 90% success rate for both the 0-year and 5-year PMD actions considered here.</w:t>
      </w:r>
    </w:p>
    <w:p w14:paraId="18837215" w14:textId="77777777" w:rsidR="00B074FC" w:rsidRDefault="00B074FC" w:rsidP="00B074FC">
      <w:pPr>
        <w:pStyle w:val="ListParagraph"/>
        <w:numPr>
          <w:ilvl w:val="0"/>
          <w:numId w:val="28"/>
        </w:numPr>
      </w:pPr>
      <w:r>
        <w:t>The Phase 2 report considered laser ranging to produce between a 10-100x reduction in false positives. We fix this at 100x to assess the upper bound of benefits the action may generate.</w:t>
      </w:r>
    </w:p>
    <w:p w14:paraId="05BC46EF" w14:textId="77777777" w:rsidR="00B074FC" w:rsidRDefault="00B074FC" w:rsidP="00B074FC">
      <w:pPr>
        <w:pStyle w:val="ListParagraph"/>
        <w:numPr>
          <w:ilvl w:val="0"/>
          <w:numId w:val="28"/>
        </w:numPr>
      </w:pPr>
      <w:r>
        <w:t>The Phase 2 report considered laser ranging and radar-based tracking of centimeter-sized debris as separate options, finding that radar-based tracking of centimeter sized debris (using 2 new Space Fence-like systems) on its own did not produce positive net benefits. While there are differences in the approaches used in that study and this one, we felt it reasonable given our computational constraints to only assess laser ranging and the combination of laser ranging with radar-based tracking as distinct options, omitting separate assessment of radar-based tracking.</w:t>
      </w:r>
    </w:p>
    <w:p w14:paraId="22F9E4E4" w14:textId="1CF55A04" w:rsidR="00B074FC" w:rsidRDefault="00B074FC" w:rsidP="00B074FC">
      <w:pPr>
        <w:pStyle w:val="ListParagraph"/>
        <w:numPr>
          <w:ilvl w:val="0"/>
          <w:numId w:val="28"/>
        </w:numPr>
      </w:pPr>
      <w:r>
        <w:t xml:space="preserve">The Phase 2 report simulated the full 30-year analytical horizon in a single stretch and did not account for higher-order effects occurring within that horizon. An example of a first-order effect (accounted for in the Phase 2 report) would be the encounter costs caused by fragments generated from a collision in year 2. But if those fragments from a </w:t>
      </w:r>
      <w:r>
        <w:lastRenderedPageBreak/>
        <w:t xml:space="preserve">collision in year 2 caused a collision in year 5, the encounter costs due to the fragments from that year 5 collision would be considered higher-order effects and not accounted for. This was done for computational tractability and because the probabilities decrease with higher orders. We now run the simulation in 1-year increments, which allows us to capture higher-order effects on timescales greater than 1 year (e.g., our framework would account for the costs in the example above, but would not capture encounter costs due to cascades of collisions occurring within a single year).  </w:t>
      </w:r>
    </w:p>
    <w:p w14:paraId="67CEBCCB" w14:textId="77777777" w:rsidR="00B074FC" w:rsidRPr="0019684D" w:rsidRDefault="00B074FC" w:rsidP="00B074FC">
      <w:pPr>
        <w:pStyle w:val="ListParagraph"/>
        <w:numPr>
          <w:ilvl w:val="0"/>
          <w:numId w:val="28"/>
        </w:numPr>
      </w:pPr>
      <w:r>
        <w:t xml:space="preserve">The Phase 1 and Phase 2 reports assumed that all debris removal happened at once initially and then generated benefits over time. Given the focus on first-order effects, lack of discounting, and the individual comparison of actions, this was an analytically convenient assumption without any effect on the results. Such </w:t>
      </w:r>
      <w:r w:rsidRPr="0019684D">
        <w:t>invariance does not hold in this report. We therefore make the following assumptions about the timing of debris removal:</w:t>
      </w:r>
    </w:p>
    <w:p w14:paraId="012D99E8" w14:textId="77777777" w:rsidR="00B074FC" w:rsidRPr="0019684D" w:rsidRDefault="00B074FC" w:rsidP="00B074FC">
      <w:pPr>
        <w:pStyle w:val="ListParagraph"/>
        <w:numPr>
          <w:ilvl w:val="1"/>
          <w:numId w:val="28"/>
        </w:numPr>
      </w:pPr>
      <w:r w:rsidRPr="0019684D">
        <w:t>The dust in the “Small debris removal (dust, mm)” action is dispersed only once over the 60-year horizon and removes all millimeter-sized debris.</w:t>
      </w:r>
    </w:p>
    <w:p w14:paraId="4D760ACF" w14:textId="37A0E05B" w:rsidR="00B074FC" w:rsidRPr="0019684D" w:rsidRDefault="00B074FC" w:rsidP="00B074FC">
      <w:pPr>
        <w:pStyle w:val="ListParagraph"/>
        <w:numPr>
          <w:ilvl w:val="1"/>
          <w:numId w:val="28"/>
        </w:numPr>
      </w:pPr>
      <w:r w:rsidRPr="0019684D">
        <w:t>The ground-based laser systems in the “Small debris removal (laser, cm)” action can eliminate up to 50,000 small debris pieces per year. In years with more than 50,000 such pieces</w:t>
      </w:r>
      <w:r>
        <w:t>, 50,000 pieces are removed uniformly.</w:t>
      </w:r>
    </w:p>
    <w:p w14:paraId="46D65C80" w14:textId="4D2C1F5E" w:rsidR="005F7DB3" w:rsidRPr="0019684D" w:rsidRDefault="00B074FC" w:rsidP="0083575E">
      <w:pPr>
        <w:pStyle w:val="ListParagraph"/>
        <w:numPr>
          <w:ilvl w:val="1"/>
          <w:numId w:val="28"/>
        </w:numPr>
      </w:pPr>
      <w:r w:rsidRPr="0019684D">
        <w:t xml:space="preserve">Uncontrolled reentry in the “ADR (uncontrolled)” action removes up to 5 large objects per year. The objects removed are statistically similar to the McKnight Top 50 objects, implying removal of the McKnight Top 50 in 10 years from TTV. In years with more than 5 such objects, </w:t>
      </w:r>
      <w:r>
        <w:t>5 pieces are removed uniformly</w:t>
      </w:r>
      <w:r w:rsidRPr="0019684D">
        <w:t>.</w:t>
      </w:r>
    </w:p>
    <w:p w14:paraId="73100C60" w14:textId="3D2AC865" w:rsidR="00B516FF" w:rsidRDefault="00837E3A" w:rsidP="00B516FF">
      <w:pPr>
        <w:pStyle w:val="Heading2"/>
      </w:pPr>
      <w:bookmarkStart w:id="10" w:name="_Toc192166298"/>
      <w:r>
        <w:t>Calculating the benefits of space sustainability actions</w:t>
      </w:r>
      <w:bookmarkEnd w:id="10"/>
    </w:p>
    <w:p w14:paraId="49B7B0FE" w14:textId="77777777" w:rsidR="00B516FF" w:rsidRDefault="00B516FF" w:rsidP="00B516FF">
      <w:r>
        <w:t>This study uses the same methodology as the Phase 2 report to assess the number and value of encounters between space objects. We provide a brief overview of the methodology here; a detailed description can be found in the Phase 2 report.</w:t>
      </w:r>
    </w:p>
    <w:p w14:paraId="270DCC54" w14:textId="7A55E8A3" w:rsidR="00B516FF" w:rsidRPr="007C16D4" w:rsidRDefault="00B516FF" w:rsidP="00581647">
      <w:pPr>
        <w:ind w:firstLine="360"/>
      </w:pPr>
      <w:r>
        <w:t>The space community currently tracks debris larger than 10 centimeters so that spacecraft operators can be warned of close approaches and maneuver to reduce the probability of a collision. Interactions with debris – strikes and close approaches that generate warnings or maneuvers – create negative financial consequences for spacecraft operators. Operators may have to pay to assess warnings; may have to</w:t>
      </w:r>
      <w:r w:rsidR="00CD5481">
        <w:t xml:space="preserve"> </w:t>
      </w:r>
      <w:r>
        <w:t>pay workers to conduct the maneuver; and in the event of a mission-ending collision (MEC), must pay to replace the lost satellite. Debris smaller than 10 centimeters is currently untracked and so does not generate warnings or maneuvers but may still result in MECs if they strike vulnerable critical components. This study measured risk as the sum of the expected encounters – warnings, maneuvers, and MECs – multiplied by their respective financial consequences. The benefit of any action or combination of actions is calculated as the amount of risk it reduces</w:t>
      </w:r>
      <w:r w:rsidR="00CD3469">
        <w:t>.</w:t>
      </w:r>
    </w:p>
    <w:p w14:paraId="57647400" w14:textId="33EBE723" w:rsidR="00B516FF" w:rsidRDefault="00B516FF" w:rsidP="00581647">
      <w:pPr>
        <w:ind w:firstLine="360"/>
      </w:pPr>
      <w:r>
        <w:lastRenderedPageBreak/>
        <w:t xml:space="preserve">As in the Phase 2 report, we used multiple submodels to estimate the current number of debris and the number of warnings, maneuvers, and MECs these debris cause. For computational tractability we restricted our attention to two of the submodels used in the Phase 2 report which were shown to produce substantially different conclusions. The most significant difference between the encounter models is the </w:t>
      </w:r>
      <w:r w:rsidR="00761054">
        <w:t>estimated number of debris in space and the size of those debris</w:t>
      </w:r>
      <w:r>
        <w:t xml:space="preserve">. The </w:t>
      </w:r>
      <w:r w:rsidR="000865A0">
        <w:t>debris counts (i.e.,</w:t>
      </w:r>
      <w:r>
        <w:t xml:space="preserve"> fluxes</w:t>
      </w:r>
      <w:r w:rsidR="000865A0">
        <w:t>)</w:t>
      </w:r>
      <w:r>
        <w:t xml:space="preserve"> in Model 1 are based on NASA’s Orbital Debris Engineering Model (ORDEM) while the </w:t>
      </w:r>
      <w:r w:rsidR="000865A0">
        <w:t xml:space="preserve">debris counts </w:t>
      </w:r>
      <w:r>
        <w:t>in Model 2 are based on the European Space Agency’s Meteoroid and Space Debris Terrestrial Environment Reference (MASTER). ORDEM predicts much higher fluxes of 1-millimeter debris than MASTER. In addition, the altitude distributions of debris under each flux model also differ.</w:t>
      </w:r>
      <w:r w:rsidR="0011671C">
        <w:t xml:space="preserve"> By using these two submodels, we can assess what the benefits of different actions and </w:t>
      </w:r>
      <w:r w:rsidR="001D0E75">
        <w:t>efficient</w:t>
      </w:r>
      <w:r w:rsidR="0011671C">
        <w:t xml:space="preserve"> portfolios may be from the perspective of each Agency. </w:t>
      </w:r>
      <w:r>
        <w:t xml:space="preserve">The models are described </w:t>
      </w:r>
      <w:r w:rsidRPr="0083575E">
        <w:rPr>
          <w:color w:val="000000" w:themeColor="text1"/>
        </w:rPr>
        <w:t xml:space="preserve">in Table </w:t>
      </w:r>
      <w:r w:rsidR="0083575E" w:rsidRPr="0083575E">
        <w:rPr>
          <w:color w:val="000000" w:themeColor="text1"/>
        </w:rPr>
        <w:t>2</w:t>
      </w:r>
      <w:r>
        <w:t xml:space="preserve">. The encounter costs, encounter frequencies, and risks in the first year are identical to those used in the Phase 2 report. </w:t>
      </w:r>
    </w:p>
    <w:p w14:paraId="6B81AE4C" w14:textId="67D5BFBB" w:rsidR="000865A0" w:rsidRDefault="000865A0" w:rsidP="00B516FF"/>
    <w:p w14:paraId="38F36291" w14:textId="1A12150B" w:rsidR="0083575E" w:rsidRDefault="0083575E" w:rsidP="0083575E">
      <w:pPr>
        <w:pStyle w:val="Caption"/>
        <w:keepNext/>
      </w:pPr>
      <w:r>
        <w:t xml:space="preserve">Table </w:t>
      </w:r>
      <w:r>
        <w:fldChar w:fldCharType="begin"/>
      </w:r>
      <w:r>
        <w:instrText xml:space="preserve"> SEQ Table \* ARABIC </w:instrText>
      </w:r>
      <w:r>
        <w:fldChar w:fldCharType="separate"/>
      </w:r>
      <w:r w:rsidR="001F0D0C">
        <w:rPr>
          <w:noProof/>
        </w:rPr>
        <w:t>2</w:t>
      </w:r>
      <w:r>
        <w:rPr>
          <w:noProof/>
        </w:rPr>
        <w:fldChar w:fldCharType="end"/>
      </w:r>
      <w:r>
        <w:t xml:space="preserve">: </w:t>
      </w:r>
      <w:r w:rsidRPr="004D2D67">
        <w:t>Summary of the two encounter models used in this study</w:t>
      </w:r>
      <w:r>
        <w:t>.</w:t>
      </w:r>
    </w:p>
    <w:tbl>
      <w:tblPr>
        <w:tblStyle w:val="OTPS"/>
        <w:tblW w:w="0" w:type="auto"/>
        <w:tblLook w:val="04A0" w:firstRow="1" w:lastRow="0" w:firstColumn="1" w:lastColumn="0" w:noHBand="0" w:noVBand="1"/>
      </w:tblPr>
      <w:tblGrid>
        <w:gridCol w:w="1530"/>
        <w:gridCol w:w="4710"/>
        <w:gridCol w:w="3120"/>
      </w:tblGrid>
      <w:tr w:rsidR="00B516FF" w14:paraId="338BC8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top"/>
          </w:tcPr>
          <w:p w14:paraId="2EE680DC" w14:textId="77777777" w:rsidR="00B516FF" w:rsidRDefault="00B516FF">
            <w:pPr>
              <w:spacing w:before="192"/>
            </w:pPr>
            <w:r w:rsidRPr="007928EB">
              <w:t>Encounter</w:t>
            </w:r>
            <w:r>
              <w:t xml:space="preserve"> model</w:t>
            </w:r>
          </w:p>
        </w:tc>
        <w:tc>
          <w:tcPr>
            <w:tcW w:w="4710" w:type="dxa"/>
            <w:vAlign w:val="top"/>
          </w:tcPr>
          <w:p w14:paraId="5BEA3F7A" w14:textId="77777777" w:rsidR="00B516FF" w:rsidRDefault="00B516FF">
            <w:pPr>
              <w:spacing w:before="192"/>
              <w:cnfStyle w:val="100000000000" w:firstRow="1" w:lastRow="0" w:firstColumn="0" w:lastColumn="0" w:oddVBand="0" w:evenVBand="0" w:oddHBand="0" w:evenHBand="0" w:firstRowFirstColumn="0" w:firstRowLastColumn="0" w:lastRowFirstColumn="0" w:lastRowLastColumn="0"/>
            </w:pPr>
            <w:r>
              <w:t>Description</w:t>
            </w:r>
          </w:p>
        </w:tc>
        <w:tc>
          <w:tcPr>
            <w:tcW w:w="3120" w:type="dxa"/>
            <w:vAlign w:val="top"/>
          </w:tcPr>
          <w:p w14:paraId="44921711" w14:textId="77777777" w:rsidR="00B516FF" w:rsidRDefault="00B516FF">
            <w:pPr>
              <w:spacing w:before="192"/>
              <w:cnfStyle w:val="100000000000" w:firstRow="1" w:lastRow="0" w:firstColumn="0" w:lastColumn="0" w:oddVBand="0" w:evenVBand="0" w:oddHBand="0" w:evenHBand="0" w:firstRowFirstColumn="0" w:firstRowLastColumn="0" w:lastRowFirstColumn="0" w:lastRowLastColumn="0"/>
            </w:pPr>
            <w:r>
              <w:t>Flux source</w:t>
            </w:r>
          </w:p>
        </w:tc>
      </w:tr>
      <w:tr w:rsidR="00B516FF" w14:paraId="16AB4E9B" w14:textId="77777777">
        <w:tc>
          <w:tcPr>
            <w:cnfStyle w:val="001000000000" w:firstRow="0" w:lastRow="0" w:firstColumn="1" w:lastColumn="0" w:oddVBand="0" w:evenVBand="0" w:oddHBand="0" w:evenHBand="0" w:firstRowFirstColumn="0" w:firstRowLastColumn="0" w:lastRowFirstColumn="0" w:lastRowLastColumn="0"/>
            <w:tcW w:w="1530" w:type="dxa"/>
            <w:vAlign w:val="top"/>
          </w:tcPr>
          <w:p w14:paraId="149DBAF0" w14:textId="77777777" w:rsidR="00B516FF" w:rsidRDefault="00B516FF">
            <w:pPr>
              <w:jc w:val="center"/>
            </w:pPr>
            <w:r>
              <w:t>Model 1</w:t>
            </w:r>
          </w:p>
        </w:tc>
        <w:tc>
          <w:tcPr>
            <w:tcW w:w="4710" w:type="dxa"/>
            <w:vAlign w:val="top"/>
          </w:tcPr>
          <w:p w14:paraId="02193DDE" w14:textId="77777777" w:rsidR="00B516FF" w:rsidRDefault="00B516FF">
            <w:pPr>
              <w:jc w:val="center"/>
              <w:cnfStyle w:val="000000000000" w:firstRow="0" w:lastRow="0" w:firstColumn="0" w:lastColumn="0" w:oddVBand="0" w:evenVBand="0" w:oddHBand="0" w:evenHBand="0" w:firstRowFirstColumn="0" w:firstRowLastColumn="0" w:lastRowFirstColumn="0" w:lastRowLastColumn="0"/>
            </w:pPr>
            <w:r>
              <w:t>Developed by the Phase 2 study team and calculates the number of encounters using fluxes from ORDEM.</w:t>
            </w:r>
          </w:p>
        </w:tc>
        <w:tc>
          <w:tcPr>
            <w:tcW w:w="3120" w:type="dxa"/>
            <w:vAlign w:val="top"/>
          </w:tcPr>
          <w:p w14:paraId="1D67155D" w14:textId="77777777" w:rsidR="00B516FF" w:rsidRDefault="00B516FF">
            <w:pPr>
              <w:jc w:val="center"/>
              <w:cnfStyle w:val="000000000000" w:firstRow="0" w:lastRow="0" w:firstColumn="0" w:lastColumn="0" w:oddVBand="0" w:evenVBand="0" w:oddHBand="0" w:evenHBand="0" w:firstRowFirstColumn="0" w:firstRowLastColumn="0" w:lastRowFirstColumn="0" w:lastRowLastColumn="0"/>
            </w:pPr>
            <w:r>
              <w:t>ORDEM</w:t>
            </w:r>
          </w:p>
        </w:tc>
      </w:tr>
      <w:tr w:rsidR="00B516FF" w14:paraId="03B645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top"/>
          </w:tcPr>
          <w:p w14:paraId="44F3552B" w14:textId="77777777" w:rsidR="00B516FF" w:rsidRDefault="00B516FF">
            <w:pPr>
              <w:jc w:val="center"/>
            </w:pPr>
            <w:r>
              <w:t>Model 2</w:t>
            </w:r>
          </w:p>
        </w:tc>
        <w:tc>
          <w:tcPr>
            <w:tcW w:w="4710" w:type="dxa"/>
            <w:vAlign w:val="top"/>
          </w:tcPr>
          <w:p w14:paraId="461729B0" w14:textId="77777777" w:rsidR="00B516FF" w:rsidRDefault="00B516FF">
            <w:pPr>
              <w:jc w:val="center"/>
              <w:cnfStyle w:val="000000010000" w:firstRow="0" w:lastRow="0" w:firstColumn="0" w:lastColumn="0" w:oddVBand="0" w:evenVBand="0" w:oddHBand="0" w:evenHBand="1" w:firstRowFirstColumn="0" w:firstRowLastColumn="0" w:lastRowFirstColumn="0" w:lastRowLastColumn="0"/>
            </w:pPr>
            <w:r>
              <w:t>Uses the COMSPOC Volumetric Encounter Model (VEM), from which the COMSPOC Number of Encounters Assessment Tool (NEAT) is derived.</w:t>
            </w:r>
          </w:p>
        </w:tc>
        <w:tc>
          <w:tcPr>
            <w:tcW w:w="3120" w:type="dxa"/>
            <w:vAlign w:val="top"/>
          </w:tcPr>
          <w:p w14:paraId="01A72154" w14:textId="77777777" w:rsidR="00B516FF" w:rsidRDefault="00B516FF">
            <w:pPr>
              <w:jc w:val="center"/>
              <w:cnfStyle w:val="000000010000" w:firstRow="0" w:lastRow="0" w:firstColumn="0" w:lastColumn="0" w:oddVBand="0" w:evenVBand="0" w:oddHBand="0" w:evenHBand="1" w:firstRowFirstColumn="0" w:firstRowLastColumn="0" w:lastRowFirstColumn="0" w:lastRowLastColumn="0"/>
            </w:pPr>
            <w:r>
              <w:t>MASTER</w:t>
            </w:r>
          </w:p>
        </w:tc>
      </w:tr>
    </w:tbl>
    <w:p w14:paraId="7280AEA8" w14:textId="585B2125" w:rsidR="000865A0" w:rsidRDefault="000865A0" w:rsidP="00B516FF"/>
    <w:p w14:paraId="2C963820" w14:textId="196BAD73" w:rsidR="00B63850" w:rsidRPr="009331EC" w:rsidRDefault="00B516FF" w:rsidP="00581647">
      <w:pPr>
        <w:ind w:firstLine="360"/>
      </w:pPr>
      <w:r>
        <w:t xml:space="preserve">Figure </w:t>
      </w:r>
      <w:r w:rsidR="00F039D4">
        <w:t>2</w:t>
      </w:r>
      <w:r>
        <w:t xml:space="preserve"> shows the growth of the cumulative number of </w:t>
      </w:r>
      <w:r w:rsidR="00F039D4">
        <w:t xml:space="preserve">&gt;10 cm </w:t>
      </w:r>
      <w:r>
        <w:t xml:space="preserve">debris included in this study under both models. While the </w:t>
      </w:r>
      <w:r w:rsidR="00D931BD">
        <w:t>evolutions</w:t>
      </w:r>
      <w:r>
        <w:t xml:space="preserve"> are different, the trends are similar and consistent with those identified elsewhere, e.g., the European Space Agency’s prediction that the number of large debris </w:t>
      </w:r>
      <w:r w:rsidRPr="00D116A6">
        <w:t>(which is most similar to what Model 2 shows)</w:t>
      </w:r>
      <w:r>
        <w:t xml:space="preserve"> will approximately double in the next 30 years. As in the Phase 2 report, we instantiate the debris environment at a state representing </w:t>
      </w:r>
      <w:r w:rsidRPr="0083575E">
        <w:t>the 2023 environment</w:t>
      </w:r>
      <w:r>
        <w:t>.</w:t>
      </w:r>
    </w:p>
    <w:p w14:paraId="371EE2B3" w14:textId="6BDFF27E" w:rsidR="00550DAA" w:rsidRDefault="00550DAA" w:rsidP="00581647">
      <w:pPr>
        <w:ind w:firstLine="360"/>
      </w:pPr>
    </w:p>
    <w:p w14:paraId="2CA0BA84" w14:textId="77777777" w:rsidR="00621161" w:rsidRDefault="00621161" w:rsidP="00561F8F">
      <w:r>
        <w:rPr>
          <w:noProof/>
        </w:rPr>
        <w:lastRenderedPageBreak/>
        <w:drawing>
          <wp:inline distT="0" distB="0" distL="0" distR="0" wp14:anchorId="66740A11" wp14:editId="3719EA0D">
            <wp:extent cx="5486400" cy="3657600"/>
            <wp:effectExtent l="0" t="0" r="0" b="0"/>
            <wp:docPr id="782814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14886" name="Picture 7828148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D2027BB" w14:textId="31AE2F52" w:rsidR="00621161" w:rsidRDefault="00621161" w:rsidP="00621161">
      <w:pPr>
        <w:pStyle w:val="Caption"/>
      </w:pPr>
      <w:r>
        <w:t xml:space="preserve">Figure </w:t>
      </w:r>
      <w:r>
        <w:fldChar w:fldCharType="begin"/>
      </w:r>
      <w:r>
        <w:instrText xml:space="preserve"> SEQ Figure \* ARABIC </w:instrText>
      </w:r>
      <w:r>
        <w:fldChar w:fldCharType="separate"/>
      </w:r>
      <w:r w:rsidR="001F0D0C">
        <w:rPr>
          <w:noProof/>
        </w:rPr>
        <w:t>2</w:t>
      </w:r>
      <w:r>
        <w:rPr>
          <w:noProof/>
        </w:rPr>
        <w:fldChar w:fldCharType="end"/>
      </w:r>
      <w:r>
        <w:t>: Evolution of counts of debris larger than 10 cm under each model with no actions taken.</w:t>
      </w:r>
    </w:p>
    <w:p w14:paraId="5C2A4548" w14:textId="66036E06" w:rsidR="00E40E4B" w:rsidRPr="00E40E4B" w:rsidRDefault="006A58F3" w:rsidP="00E40E4B">
      <w:pPr>
        <w:pStyle w:val="Heading2"/>
      </w:pPr>
      <w:bookmarkStart w:id="11" w:name="_Toc192166299"/>
      <w:r>
        <w:t xml:space="preserve">Up-front costs, running costs, and </w:t>
      </w:r>
      <w:r w:rsidR="008F49BA">
        <w:t>time-to-value</w:t>
      </w:r>
      <w:bookmarkEnd w:id="11"/>
    </w:p>
    <w:p w14:paraId="2F072D64" w14:textId="60956E25" w:rsidR="00586A07" w:rsidRDefault="00586A07" w:rsidP="00921F88">
      <w:r>
        <w:t xml:space="preserve">In this report, we distinguish between the </w:t>
      </w:r>
      <w:r>
        <w:rPr>
          <w:i/>
          <w:iCs/>
        </w:rPr>
        <w:t>up-front costs</w:t>
      </w:r>
      <w:r>
        <w:t xml:space="preserve"> and </w:t>
      </w:r>
      <w:r>
        <w:rPr>
          <w:i/>
          <w:iCs/>
        </w:rPr>
        <w:t>running costs</w:t>
      </w:r>
      <w:r>
        <w:t xml:space="preserve">, and in doing so also account for the </w:t>
      </w:r>
      <w:r>
        <w:rPr>
          <w:i/>
          <w:iCs/>
        </w:rPr>
        <w:t>time-to-value</w:t>
      </w:r>
      <w:r>
        <w:t xml:space="preserve"> (TTV).</w:t>
      </w:r>
      <w:r>
        <w:rPr>
          <w:rStyle w:val="FootnoteReference"/>
        </w:rPr>
        <w:footnoteReference w:id="2"/>
      </w:r>
      <w:r>
        <w:t xml:space="preserve"> The TTV of an action is the time taken for the action to begin delivering benefits. The up-front costs of an action are the costs incurred over the TTV, before the action begins delivering benefits. The running costs of an action are the costs incurred after the TTV, once the action has started delivering benefits.</w:t>
      </w:r>
    </w:p>
    <w:p w14:paraId="1E71C0F7" w14:textId="2247163B" w:rsidR="00864122" w:rsidRDefault="00921F88" w:rsidP="00581647">
      <w:pPr>
        <w:ind w:firstLine="360"/>
      </w:pPr>
      <w:r>
        <w:t xml:space="preserve">We utilize the cost estimates from Phase 1 and Phase 2 to construct up-front and running costs in this report. </w:t>
      </w:r>
      <w:r w:rsidR="00864122">
        <w:t xml:space="preserve">The Phase 1 and Phase 2 reports used low- and high-cost estimates to assess the relative value of actions. Here, we use a single up-front cost estimate and a single running cost estimate – the low costs from the Phase 1 and 2 reports – to limit the computational burden of running </w:t>
      </w:r>
      <w:r w:rsidR="0048234A">
        <w:t>many combinations</w:t>
      </w:r>
      <w:r w:rsidR="00864122">
        <w:t>. Since we use NPV</w:t>
      </w:r>
      <w:r w:rsidR="00E43DEB">
        <w:t xml:space="preserve"> </w:t>
      </w:r>
      <w:r w:rsidR="007A32FB">
        <w:t>–</w:t>
      </w:r>
      <w:r w:rsidR="00E43DEB">
        <w:t xml:space="preserve"> </w:t>
      </w:r>
      <w:r w:rsidR="007A32FB">
        <w:t>discussed in detail in the following sections –</w:t>
      </w:r>
      <w:r w:rsidR="00864122">
        <w:t xml:space="preserve"> as the final metric, the robustness of any portfolio’s value to cost assumptions in any given action can be read in units of year 0 dollars directly from the portfolio’s NPV. For example, suppose portfolio A contains actions 1, 2, and 3 and has an NPV </w:t>
      </w:r>
      <w:r w:rsidR="00864122">
        <w:lastRenderedPageBreak/>
        <w:t>of $100 while portfolio B contains actions 1 and 3 and has an NPV of $80. It is immediately clear that action 2 can have up to $20 more in cost, measured in year 0 dollars, without affecting the rankings of portfolios A and B. The additional cost can be incurred in any year so long as the present value in year 0 is less than $20.</w:t>
      </w:r>
      <w:r w:rsidR="007A32FB">
        <w:t xml:space="preserve"> Thus,</w:t>
      </w:r>
      <w:r w:rsidR="004A1F1C">
        <w:t xml:space="preserve"> the NPV provides an indication</w:t>
      </w:r>
      <w:r w:rsidR="007A32FB">
        <w:t xml:space="preserve"> </w:t>
      </w:r>
      <w:r w:rsidR="00872BFE">
        <w:t xml:space="preserve">of how much a different CONOPS from those we have considered </w:t>
      </w:r>
      <w:r w:rsidR="00285826">
        <w:t>would have to cost in order to change its ranking.</w:t>
      </w:r>
    </w:p>
    <w:p w14:paraId="0F8D0ED6" w14:textId="77777777" w:rsidR="00210E80" w:rsidRDefault="00210E80" w:rsidP="00581647">
      <w:pPr>
        <w:ind w:firstLine="360"/>
      </w:pPr>
      <w:r>
        <w:t xml:space="preserve">In Phases 1 and 2, actions were assumed to begin taking effect immediately. For example, using a 60-year analysis horizon, an action assumed to require $100 in up-front costs before the action began delivering benefits and $10 in recurring unit, operations, and maintenance costs while delivering benefits would have been modeled as $100 in the first year and $10 over the full 60 years ($100 + $10/year * 60 years, so $700 total). The time taken for the action to begin delivering benefits was ignored, so even if it would have taken 10 years to build and deploy the relevant systems the benefits and costs were assumed to begin accruing immediately. </w:t>
      </w:r>
    </w:p>
    <w:p w14:paraId="317EDA78" w14:textId="42198F6B" w:rsidR="00210E80" w:rsidRDefault="00210E80" w:rsidP="00581647">
      <w:pPr>
        <w:ind w:firstLine="360"/>
      </w:pPr>
      <w:r>
        <w:t>In this report we would classify the $100 as up-front costs, the $10 as running costs, and the 10 years as the time-to-value. The $100 would be incurred over the first 10 years before benefits begin to accrue, and the $10 would be incurred every year over the remaining 50 years while the benefits accrue. The sequence of cost flows would therefore be $100 in the first 10 years and $10 in every year after. The inclusion of TTV changes the total costs ($10/year * 10 years + $10/year * 50 years, so $600 total). Further, as will be discussed in the following section, the use of discounting makes the timing of costs relevant in assessing the value of each action or combination of actions. The inclusion of TTV also changes the benefits of each action compared to Phase 2</w:t>
      </w:r>
      <w:r w:rsidR="00AF3877">
        <w:t xml:space="preserve"> (which assumed a TTV of 0 years)</w:t>
      </w:r>
      <w:r>
        <w:t>, as a longer TTV means a lower present value of benefits overall.</w:t>
      </w:r>
    </w:p>
    <w:p w14:paraId="32E82981" w14:textId="15807140" w:rsidR="00210E80" w:rsidRDefault="00210E80" w:rsidP="00581647">
      <w:pPr>
        <w:ind w:firstLine="360"/>
      </w:pPr>
      <w:r>
        <w:t xml:space="preserve">TTV for new systems is difficult to estimate, so we bound the likely benefits by calculating NPVs between a 0- and 10-year TTV. </w:t>
      </w:r>
      <w:r w:rsidRPr="00E31B78">
        <w:t>The Apollo program was initiated in 1961 with the goal of landing humans on the Moon, which it accomplished seven years later in 1969. Considering that the Apollo program was more complex than any of the space sustainability actions we have analyzed, we assume that any of them can be accomplished in 10 years of dedicated effort</w:t>
      </w:r>
      <w:r>
        <w:t xml:space="preserve">. So the 10-year TTV assumption gives us a reasonable upper bound. To estimate the sensitivity of the </w:t>
      </w:r>
      <w:r w:rsidR="001D0E75">
        <w:t>efficient</w:t>
      </w:r>
      <w:r>
        <w:t xml:space="preserve"> portfolio’s NPV estimates to the TTV, we reduce the TTV of each action to 0 years (since “immediately” is the fastest any action could begin delivering benefits) and recalculate the value of the portfolio. This allows us to estimate the sensitivity of the </w:t>
      </w:r>
      <w:r w:rsidR="001D0E75">
        <w:t>efficient</w:t>
      </w:r>
      <w:r>
        <w:t xml:space="preserve"> portfolio to decreases in TTV for any individual action, at least within the range of 0-10 years.</w:t>
      </w:r>
    </w:p>
    <w:p w14:paraId="4492156C" w14:textId="05AB6008" w:rsidR="00BF3D8D" w:rsidRDefault="00921F88" w:rsidP="00EE2CB8">
      <w:pPr>
        <w:ind w:firstLine="360"/>
      </w:pPr>
      <w:r w:rsidRPr="00C146CF">
        <w:rPr>
          <w:color w:val="000000" w:themeColor="text1"/>
        </w:rPr>
        <w:lastRenderedPageBreak/>
        <w:t xml:space="preserve">Table </w:t>
      </w:r>
      <w:r w:rsidR="00C146CF" w:rsidRPr="00C146CF">
        <w:rPr>
          <w:color w:val="000000" w:themeColor="text1"/>
        </w:rPr>
        <w:t>3</w:t>
      </w:r>
      <w:r w:rsidRPr="00C146CF">
        <w:rPr>
          <w:color w:val="000000" w:themeColor="text1"/>
        </w:rPr>
        <w:t xml:space="preserve"> </w:t>
      </w:r>
      <w:r>
        <w:t>summarizes the development cost, time-to-value, operational cost, and operational lifetime assumptions for all actions considered.</w:t>
      </w:r>
      <w:r w:rsidR="007E69FC">
        <w:t xml:space="preserve"> All values are rounded up to the nearest million dollars.</w:t>
      </w:r>
    </w:p>
    <w:p w14:paraId="1C978A0C" w14:textId="77777777" w:rsidR="005D125A" w:rsidRDefault="005D125A" w:rsidP="00581647">
      <w:pPr>
        <w:ind w:firstLine="360"/>
      </w:pPr>
    </w:p>
    <w:p w14:paraId="35CA5123" w14:textId="55D81A94" w:rsidR="00C146CF" w:rsidRDefault="00C146CF" w:rsidP="00C146CF">
      <w:pPr>
        <w:pStyle w:val="Caption"/>
        <w:keepNext/>
      </w:pPr>
      <w:r>
        <w:t xml:space="preserve">Table </w:t>
      </w:r>
      <w:r>
        <w:fldChar w:fldCharType="begin"/>
      </w:r>
      <w:r>
        <w:instrText xml:space="preserve"> SEQ Table \* ARABIC </w:instrText>
      </w:r>
      <w:r>
        <w:fldChar w:fldCharType="separate"/>
      </w:r>
      <w:r w:rsidR="001F0D0C">
        <w:rPr>
          <w:noProof/>
        </w:rPr>
        <w:t>3</w:t>
      </w:r>
      <w:r>
        <w:rPr>
          <w:noProof/>
        </w:rPr>
        <w:fldChar w:fldCharType="end"/>
      </w:r>
      <w:r>
        <w:t>: Costs and performance characteristics of actions analyzed.</w:t>
      </w:r>
    </w:p>
    <w:tbl>
      <w:tblPr>
        <w:tblStyle w:val="OTPS"/>
        <w:tblW w:w="9360" w:type="dxa"/>
        <w:tblLook w:val="04A0" w:firstRow="1" w:lastRow="0" w:firstColumn="1" w:lastColumn="0" w:noHBand="0" w:noVBand="1"/>
      </w:tblPr>
      <w:tblGrid>
        <w:gridCol w:w="2115"/>
        <w:gridCol w:w="1385"/>
        <w:gridCol w:w="1745"/>
        <w:gridCol w:w="1701"/>
        <w:gridCol w:w="2414"/>
      </w:tblGrid>
      <w:tr w:rsidR="003D4E4B" w14:paraId="103C7A51" w14:textId="7B86DB19" w:rsidTr="00C146CF">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115" w:type="dxa"/>
          </w:tcPr>
          <w:p w14:paraId="0621312D" w14:textId="48E26AFC" w:rsidR="003D4E4B" w:rsidRDefault="003D4E4B" w:rsidP="00555872">
            <w:pPr>
              <w:spacing w:before="192"/>
            </w:pPr>
            <w:r>
              <w:t>Action</w:t>
            </w:r>
          </w:p>
        </w:tc>
        <w:tc>
          <w:tcPr>
            <w:tcW w:w="1385" w:type="dxa"/>
          </w:tcPr>
          <w:p w14:paraId="0670F58C" w14:textId="4B87FDAC" w:rsidR="003D4E4B" w:rsidRDefault="003D4E4B" w:rsidP="00555872">
            <w:pPr>
              <w:spacing w:before="192"/>
              <w:cnfStyle w:val="100000000000" w:firstRow="1" w:lastRow="0" w:firstColumn="0" w:lastColumn="0" w:oddVBand="0" w:evenVBand="0" w:oddHBand="0" w:evenHBand="0" w:firstRowFirstColumn="0" w:firstRowLastColumn="0" w:lastRowFirstColumn="0" w:lastRowLastColumn="0"/>
            </w:pPr>
            <w:r>
              <w:t>Category</w:t>
            </w:r>
          </w:p>
        </w:tc>
        <w:tc>
          <w:tcPr>
            <w:tcW w:w="1745" w:type="dxa"/>
          </w:tcPr>
          <w:p w14:paraId="35D44417" w14:textId="2848A865" w:rsidR="003D4E4B" w:rsidRDefault="003D4E4B" w:rsidP="00555872">
            <w:pPr>
              <w:spacing w:before="192"/>
              <w:cnfStyle w:val="100000000000" w:firstRow="1" w:lastRow="0" w:firstColumn="0" w:lastColumn="0" w:oddVBand="0" w:evenVBand="0" w:oddHBand="0" w:evenHBand="0" w:firstRowFirstColumn="0" w:firstRowLastColumn="0" w:lastRowFirstColumn="0" w:lastRowLastColumn="0"/>
            </w:pPr>
            <w:r>
              <w:t>Up-front cost</w:t>
            </w:r>
            <w:r>
              <w:br/>
              <w:t>[$M]</w:t>
            </w:r>
          </w:p>
        </w:tc>
        <w:tc>
          <w:tcPr>
            <w:tcW w:w="1701" w:type="dxa"/>
          </w:tcPr>
          <w:p w14:paraId="2B44FA20" w14:textId="0A289DC2" w:rsidR="003D4E4B" w:rsidRDefault="003D4E4B" w:rsidP="00555872">
            <w:pPr>
              <w:spacing w:before="192"/>
              <w:cnfStyle w:val="100000000000" w:firstRow="1" w:lastRow="0" w:firstColumn="0" w:lastColumn="0" w:oddVBand="0" w:evenVBand="0" w:oddHBand="0" w:evenHBand="0" w:firstRowFirstColumn="0" w:firstRowLastColumn="0" w:lastRowFirstColumn="0" w:lastRowLastColumn="0"/>
            </w:pPr>
            <w:r>
              <w:t>Running cost</w:t>
            </w:r>
            <w:r>
              <w:br/>
              <w:t>[$M/year]</w:t>
            </w:r>
          </w:p>
        </w:tc>
        <w:tc>
          <w:tcPr>
            <w:tcW w:w="2414" w:type="dxa"/>
          </w:tcPr>
          <w:p w14:paraId="7F904FC8" w14:textId="074C1B0A" w:rsidR="003D4E4B" w:rsidRDefault="003D4E4B" w:rsidP="00555872">
            <w:pPr>
              <w:spacing w:before="192"/>
              <w:cnfStyle w:val="100000000000" w:firstRow="1" w:lastRow="0" w:firstColumn="0" w:lastColumn="0" w:oddVBand="0" w:evenVBand="0" w:oddHBand="0" w:evenHBand="0" w:firstRowFirstColumn="0" w:firstRowLastColumn="0" w:lastRowFirstColumn="0" w:lastRowLastColumn="0"/>
            </w:pPr>
            <w:r>
              <w:t>Performance</w:t>
            </w:r>
          </w:p>
        </w:tc>
      </w:tr>
      <w:tr w:rsidR="003D4E4B" w14:paraId="64684A82" w14:textId="339258D8" w:rsidTr="00C146CF">
        <w:trPr>
          <w:trHeight w:val="306"/>
        </w:trPr>
        <w:tc>
          <w:tcPr>
            <w:cnfStyle w:val="001000000000" w:firstRow="0" w:lastRow="0" w:firstColumn="1" w:lastColumn="0" w:oddVBand="0" w:evenVBand="0" w:oddHBand="0" w:evenHBand="0" w:firstRowFirstColumn="0" w:firstRowLastColumn="0" w:lastRowFirstColumn="0" w:lastRowLastColumn="0"/>
            <w:tcW w:w="2115" w:type="dxa"/>
          </w:tcPr>
          <w:p w14:paraId="7B2D1CFC" w14:textId="338CBD12" w:rsidR="003D4E4B" w:rsidRDefault="003D4E4B" w:rsidP="00CF32FD">
            <w:pPr>
              <w:jc w:val="center"/>
            </w:pPr>
            <w:r>
              <w:rPr>
                <w:rFonts w:ascii="Aptos Narrow" w:hAnsi="Aptos Narrow"/>
                <w:color w:val="000000"/>
              </w:rPr>
              <w:t>Shielding 5mm</w:t>
            </w:r>
          </w:p>
        </w:tc>
        <w:tc>
          <w:tcPr>
            <w:tcW w:w="1385" w:type="dxa"/>
          </w:tcPr>
          <w:p w14:paraId="42C377EE" w14:textId="393E1B61" w:rsidR="003D4E4B"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Mitigation</w:t>
            </w:r>
          </w:p>
        </w:tc>
        <w:tc>
          <w:tcPr>
            <w:tcW w:w="1745" w:type="dxa"/>
          </w:tcPr>
          <w:p w14:paraId="6D1970B4" w14:textId="5C12AD9A" w:rsidR="003D4E4B" w:rsidRPr="004B457C"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8</w:t>
            </w:r>
          </w:p>
        </w:tc>
        <w:tc>
          <w:tcPr>
            <w:tcW w:w="1701" w:type="dxa"/>
          </w:tcPr>
          <w:p w14:paraId="04058FBF" w14:textId="75BBC728" w:rsidR="003D4E4B" w:rsidRPr="004B457C"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2</w:t>
            </w:r>
          </w:p>
        </w:tc>
        <w:tc>
          <w:tcPr>
            <w:tcW w:w="2414" w:type="dxa"/>
          </w:tcPr>
          <w:p w14:paraId="106724C6" w14:textId="1029FF8E" w:rsidR="003D4E4B" w:rsidRDefault="007D3048"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Shields against all collisions with debris 5mm and smaller</w:t>
            </w:r>
          </w:p>
        </w:tc>
      </w:tr>
      <w:tr w:rsidR="003D4E4B" w14:paraId="660A6C98" w14:textId="4F23A5EB" w:rsidTr="00C146CF">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115" w:type="dxa"/>
          </w:tcPr>
          <w:p w14:paraId="05A8FB35" w14:textId="5C7C9F31" w:rsidR="003D4E4B" w:rsidRDefault="003D4E4B" w:rsidP="00CF32FD">
            <w:pPr>
              <w:jc w:val="center"/>
            </w:pPr>
            <w:r>
              <w:rPr>
                <w:rFonts w:ascii="Aptos Narrow" w:hAnsi="Aptos Narrow"/>
                <w:color w:val="000000"/>
              </w:rPr>
              <w:t>Passivation</w:t>
            </w:r>
          </w:p>
        </w:tc>
        <w:tc>
          <w:tcPr>
            <w:tcW w:w="1385" w:type="dxa"/>
          </w:tcPr>
          <w:p w14:paraId="59A5D663" w14:textId="33F406D9" w:rsidR="003D4E4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Mitigation</w:t>
            </w:r>
          </w:p>
        </w:tc>
        <w:tc>
          <w:tcPr>
            <w:tcW w:w="1745" w:type="dxa"/>
          </w:tcPr>
          <w:p w14:paraId="797284CF" w14:textId="4AE15EF7" w:rsidR="003D4E4B" w:rsidRPr="004B457C"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275</w:t>
            </w:r>
          </w:p>
        </w:tc>
        <w:tc>
          <w:tcPr>
            <w:tcW w:w="1701" w:type="dxa"/>
          </w:tcPr>
          <w:p w14:paraId="395DFEF2" w14:textId="232F3913" w:rsidR="003D4E4B" w:rsidRPr="004B457C"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55</w:t>
            </w:r>
          </w:p>
        </w:tc>
        <w:tc>
          <w:tcPr>
            <w:tcW w:w="2414" w:type="dxa"/>
          </w:tcPr>
          <w:p w14:paraId="25A0F95F" w14:textId="3576A344" w:rsidR="003D4E4B" w:rsidRDefault="00ED0F72"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Removes risk of battery or propellant-related explosions while spacecraft is on orbit</w:t>
            </w:r>
          </w:p>
        </w:tc>
      </w:tr>
      <w:tr w:rsidR="003D4E4B" w14:paraId="0AA04275" w14:textId="31617EBB" w:rsidTr="00C146CF">
        <w:trPr>
          <w:trHeight w:val="198"/>
        </w:trPr>
        <w:tc>
          <w:tcPr>
            <w:cnfStyle w:val="001000000000" w:firstRow="0" w:lastRow="0" w:firstColumn="1" w:lastColumn="0" w:oddVBand="0" w:evenVBand="0" w:oddHBand="0" w:evenHBand="0" w:firstRowFirstColumn="0" w:firstRowLastColumn="0" w:lastRowFirstColumn="0" w:lastRowLastColumn="0"/>
            <w:tcW w:w="2115" w:type="dxa"/>
          </w:tcPr>
          <w:p w14:paraId="75A71B4B" w14:textId="04F97F73" w:rsidR="003D4E4B" w:rsidRDefault="003D4E4B" w:rsidP="00CF32FD">
            <w:pPr>
              <w:jc w:val="center"/>
              <w:rPr>
                <w:rFonts w:ascii="Aptos Narrow" w:hAnsi="Aptos Narrow"/>
                <w:color w:val="000000"/>
              </w:rPr>
            </w:pPr>
            <w:r>
              <w:rPr>
                <w:rFonts w:ascii="Aptos Narrow" w:hAnsi="Aptos Narrow"/>
                <w:color w:val="000000"/>
              </w:rPr>
              <w:t>5-year PMD</w:t>
            </w:r>
          </w:p>
        </w:tc>
        <w:tc>
          <w:tcPr>
            <w:tcW w:w="1385" w:type="dxa"/>
          </w:tcPr>
          <w:p w14:paraId="26CF0CAD" w14:textId="729B13AD" w:rsidR="003D4E4B"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Mitigation</w:t>
            </w:r>
          </w:p>
        </w:tc>
        <w:tc>
          <w:tcPr>
            <w:tcW w:w="1745" w:type="dxa"/>
          </w:tcPr>
          <w:p w14:paraId="7026090F" w14:textId="3080FF91" w:rsidR="003D4E4B"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8</w:t>
            </w:r>
          </w:p>
        </w:tc>
        <w:tc>
          <w:tcPr>
            <w:tcW w:w="1701" w:type="dxa"/>
          </w:tcPr>
          <w:p w14:paraId="7E3677D6" w14:textId="60C8BAE8" w:rsidR="003D4E4B"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2</w:t>
            </w:r>
          </w:p>
        </w:tc>
        <w:tc>
          <w:tcPr>
            <w:tcW w:w="2414" w:type="dxa"/>
          </w:tcPr>
          <w:p w14:paraId="0447913F" w14:textId="22A0BA72" w:rsidR="003D4E4B" w:rsidRDefault="004E6D0E"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Around 70% of spacecraft move to 550 km at end of mission</w:t>
            </w:r>
          </w:p>
        </w:tc>
      </w:tr>
      <w:tr w:rsidR="003D4E4B" w14:paraId="716EFA48" w14:textId="479A50E9" w:rsidTr="00C146CF">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115" w:type="dxa"/>
          </w:tcPr>
          <w:p w14:paraId="19752984" w14:textId="0A45109F" w:rsidR="003D4E4B" w:rsidRDefault="003D4E4B" w:rsidP="00CF32FD">
            <w:pPr>
              <w:jc w:val="center"/>
              <w:rPr>
                <w:rFonts w:ascii="Aptos Narrow" w:hAnsi="Aptos Narrow"/>
                <w:color w:val="000000"/>
              </w:rPr>
            </w:pPr>
            <w:r>
              <w:rPr>
                <w:rFonts w:ascii="Aptos Narrow" w:hAnsi="Aptos Narrow"/>
                <w:color w:val="000000"/>
              </w:rPr>
              <w:t>0-year PMD</w:t>
            </w:r>
          </w:p>
        </w:tc>
        <w:tc>
          <w:tcPr>
            <w:tcW w:w="1385" w:type="dxa"/>
          </w:tcPr>
          <w:p w14:paraId="3EC6593C" w14:textId="169B6687" w:rsidR="003D4E4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Mitigation</w:t>
            </w:r>
          </w:p>
        </w:tc>
        <w:tc>
          <w:tcPr>
            <w:tcW w:w="1745" w:type="dxa"/>
          </w:tcPr>
          <w:p w14:paraId="5A5A3A0C" w14:textId="2C056B30" w:rsidR="003D4E4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20</w:t>
            </w:r>
          </w:p>
        </w:tc>
        <w:tc>
          <w:tcPr>
            <w:tcW w:w="1701" w:type="dxa"/>
          </w:tcPr>
          <w:p w14:paraId="5271C3BD" w14:textId="6CD37676" w:rsidR="003D4E4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4</w:t>
            </w:r>
          </w:p>
        </w:tc>
        <w:tc>
          <w:tcPr>
            <w:tcW w:w="2414" w:type="dxa"/>
          </w:tcPr>
          <w:p w14:paraId="061ECC3F" w14:textId="54A16E53" w:rsidR="003D4E4B" w:rsidRDefault="004E6D0E"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Around 70% of spacecraft move to 300 km at end of mission</w:t>
            </w:r>
          </w:p>
        </w:tc>
      </w:tr>
      <w:tr w:rsidR="003D4E4B" w14:paraId="238CE1A4" w14:textId="1231CBB9" w:rsidTr="00C146CF">
        <w:trPr>
          <w:trHeight w:val="432"/>
        </w:trPr>
        <w:tc>
          <w:tcPr>
            <w:cnfStyle w:val="001000000000" w:firstRow="0" w:lastRow="0" w:firstColumn="1" w:lastColumn="0" w:oddVBand="0" w:evenVBand="0" w:oddHBand="0" w:evenHBand="0" w:firstRowFirstColumn="0" w:firstRowLastColumn="0" w:lastRowFirstColumn="0" w:lastRowLastColumn="0"/>
            <w:tcW w:w="2115" w:type="dxa"/>
          </w:tcPr>
          <w:p w14:paraId="38F4E587" w14:textId="45805551" w:rsidR="003D4E4B" w:rsidRDefault="003D4E4B" w:rsidP="00CF32FD">
            <w:pPr>
              <w:jc w:val="center"/>
            </w:pPr>
            <w:r>
              <w:rPr>
                <w:rFonts w:ascii="Aptos Narrow" w:hAnsi="Aptos Narrow"/>
                <w:color w:val="000000"/>
              </w:rPr>
              <w:t>ADR</w:t>
            </w:r>
          </w:p>
        </w:tc>
        <w:tc>
          <w:tcPr>
            <w:tcW w:w="1385" w:type="dxa"/>
          </w:tcPr>
          <w:p w14:paraId="687A9256" w14:textId="6755E921" w:rsidR="003D4E4B"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Remediation</w:t>
            </w:r>
          </w:p>
        </w:tc>
        <w:tc>
          <w:tcPr>
            <w:tcW w:w="1745" w:type="dxa"/>
          </w:tcPr>
          <w:p w14:paraId="3B8FEE4C" w14:textId="65DD759F" w:rsidR="003D4E4B" w:rsidRPr="004B457C"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1395</w:t>
            </w:r>
          </w:p>
        </w:tc>
        <w:tc>
          <w:tcPr>
            <w:tcW w:w="1701" w:type="dxa"/>
          </w:tcPr>
          <w:p w14:paraId="1BB5ABCF" w14:textId="7BF63E68" w:rsidR="003D4E4B" w:rsidRPr="004B457C"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45</w:t>
            </w:r>
          </w:p>
        </w:tc>
        <w:tc>
          <w:tcPr>
            <w:tcW w:w="2414" w:type="dxa"/>
          </w:tcPr>
          <w:p w14:paraId="1B612158" w14:textId="1B123C73" w:rsidR="003D4E4B" w:rsidRDefault="00272EE8"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 xml:space="preserve">Removing </w:t>
            </w:r>
            <w:r w:rsidR="004F6D49">
              <w:rPr>
                <w:rFonts w:ascii="Aptos Narrow" w:hAnsi="Aptos Narrow"/>
                <w:color w:val="000000"/>
              </w:rPr>
              <w:t>5</w:t>
            </w:r>
            <w:r w:rsidR="009C5F0A">
              <w:rPr>
                <w:rFonts w:ascii="Aptos Narrow" w:hAnsi="Aptos Narrow"/>
                <w:color w:val="000000"/>
              </w:rPr>
              <w:t xml:space="preserve"> 9,000kg objects per year</w:t>
            </w:r>
            <w:r w:rsidR="00BD6F48">
              <w:rPr>
                <w:rFonts w:ascii="Aptos Narrow" w:hAnsi="Aptos Narrow"/>
                <w:color w:val="000000"/>
              </w:rPr>
              <w:t xml:space="preserve">, implies </w:t>
            </w:r>
            <w:r w:rsidR="00100043">
              <w:rPr>
                <w:rFonts w:ascii="Aptos Narrow" w:hAnsi="Aptos Narrow"/>
                <w:color w:val="000000"/>
              </w:rPr>
              <w:t>cost per kg removed as low as $81,000</w:t>
            </w:r>
            <w:r w:rsidR="00DE2A24">
              <w:rPr>
                <w:rFonts w:ascii="Aptos Narrow" w:hAnsi="Aptos Narrow"/>
                <w:color w:val="000000"/>
              </w:rPr>
              <w:t>/kg</w:t>
            </w:r>
            <w:r w:rsidR="00100043">
              <w:rPr>
                <w:rFonts w:ascii="Aptos Narrow" w:hAnsi="Aptos Narrow"/>
                <w:color w:val="000000"/>
              </w:rPr>
              <w:t>.</w:t>
            </w:r>
          </w:p>
        </w:tc>
      </w:tr>
      <w:tr w:rsidR="003D4E4B" w14:paraId="56D96EB8" w14:textId="374D921D" w:rsidTr="00C146CF">
        <w:trPr>
          <w:cnfStyle w:val="000000010000" w:firstRow="0" w:lastRow="0" w:firstColumn="0" w:lastColumn="0" w:oddVBand="0" w:evenVBand="0" w:oddHBand="0" w:evenHBand="1"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115" w:type="dxa"/>
          </w:tcPr>
          <w:p w14:paraId="6EB92851" w14:textId="30C52055" w:rsidR="003D4E4B" w:rsidRDefault="003D4E4B" w:rsidP="00CF32FD">
            <w:pPr>
              <w:jc w:val="center"/>
            </w:pPr>
            <w:r>
              <w:rPr>
                <w:rFonts w:ascii="Aptos Narrow" w:hAnsi="Aptos Narrow"/>
                <w:color w:val="000000"/>
              </w:rPr>
              <w:t>Laser JCA</w:t>
            </w:r>
          </w:p>
        </w:tc>
        <w:tc>
          <w:tcPr>
            <w:tcW w:w="1385" w:type="dxa"/>
          </w:tcPr>
          <w:p w14:paraId="60FEF950" w14:textId="15761CCC" w:rsidR="003D4E4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Remediation</w:t>
            </w:r>
          </w:p>
        </w:tc>
        <w:tc>
          <w:tcPr>
            <w:tcW w:w="1745" w:type="dxa"/>
          </w:tcPr>
          <w:p w14:paraId="26A944F3" w14:textId="6F3B6F43" w:rsidR="003D4E4B" w:rsidRPr="004B457C"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654</w:t>
            </w:r>
          </w:p>
        </w:tc>
        <w:tc>
          <w:tcPr>
            <w:tcW w:w="1701" w:type="dxa"/>
          </w:tcPr>
          <w:p w14:paraId="46C6E203" w14:textId="56283D2C" w:rsidR="003D4E4B" w:rsidRPr="004B457C"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11</w:t>
            </w:r>
          </w:p>
        </w:tc>
        <w:tc>
          <w:tcPr>
            <w:tcW w:w="2414" w:type="dxa"/>
          </w:tcPr>
          <w:p w14:paraId="35EB2885" w14:textId="7897488F" w:rsidR="003D4E4B" w:rsidRDefault="00E32023"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All large objects</w:t>
            </w:r>
          </w:p>
        </w:tc>
      </w:tr>
      <w:tr w:rsidR="003D4E4B" w14:paraId="27CC9F81" w14:textId="041163BF" w:rsidTr="00C146CF">
        <w:trPr>
          <w:trHeight w:val="67"/>
        </w:trPr>
        <w:tc>
          <w:tcPr>
            <w:cnfStyle w:val="001000000000" w:firstRow="0" w:lastRow="0" w:firstColumn="1" w:lastColumn="0" w:oddVBand="0" w:evenVBand="0" w:oddHBand="0" w:evenHBand="0" w:firstRowFirstColumn="0" w:firstRowLastColumn="0" w:lastRowFirstColumn="0" w:lastRowLastColumn="0"/>
            <w:tcW w:w="2115" w:type="dxa"/>
          </w:tcPr>
          <w:p w14:paraId="6E797CAE" w14:textId="4839243D" w:rsidR="003D4E4B" w:rsidRDefault="003D4E4B" w:rsidP="00CF32FD">
            <w:pPr>
              <w:jc w:val="center"/>
            </w:pPr>
            <w:r>
              <w:rPr>
                <w:rFonts w:ascii="Aptos Narrow" w:hAnsi="Aptos Narrow"/>
                <w:color w:val="000000"/>
              </w:rPr>
              <w:t>Laser cm debris removal</w:t>
            </w:r>
          </w:p>
        </w:tc>
        <w:tc>
          <w:tcPr>
            <w:tcW w:w="1385" w:type="dxa"/>
          </w:tcPr>
          <w:p w14:paraId="2F31DEFC" w14:textId="53301658" w:rsidR="003D4E4B"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Remediation</w:t>
            </w:r>
          </w:p>
        </w:tc>
        <w:tc>
          <w:tcPr>
            <w:tcW w:w="1745" w:type="dxa"/>
          </w:tcPr>
          <w:p w14:paraId="3600C36A" w14:textId="76D6142B" w:rsidR="003D4E4B" w:rsidRPr="004B457C"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654</w:t>
            </w:r>
          </w:p>
        </w:tc>
        <w:tc>
          <w:tcPr>
            <w:tcW w:w="1701" w:type="dxa"/>
          </w:tcPr>
          <w:p w14:paraId="5655773F" w14:textId="0DD0AC89" w:rsidR="003D4E4B" w:rsidRPr="004B457C"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11</w:t>
            </w:r>
          </w:p>
        </w:tc>
        <w:tc>
          <w:tcPr>
            <w:tcW w:w="2414" w:type="dxa"/>
          </w:tcPr>
          <w:p w14:paraId="2A2C484A" w14:textId="5AA0177B" w:rsidR="003D4E4B" w:rsidRDefault="00C35799"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 xml:space="preserve">Up to 50,000 </w:t>
            </w:r>
            <w:r w:rsidR="0024750B">
              <w:rPr>
                <w:rFonts w:ascii="Aptos Narrow" w:hAnsi="Aptos Narrow"/>
                <w:color w:val="000000"/>
              </w:rPr>
              <w:t>debris objects &gt;1 cm are removed annually</w:t>
            </w:r>
          </w:p>
        </w:tc>
      </w:tr>
      <w:tr w:rsidR="003D4E4B" w14:paraId="3E04ABE8" w14:textId="3AA3C0A9" w:rsidTr="00C146CF">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15" w:type="dxa"/>
          </w:tcPr>
          <w:p w14:paraId="700FD5C0" w14:textId="512FDD30" w:rsidR="003D4E4B" w:rsidRDefault="003D4E4B" w:rsidP="00CF32FD">
            <w:pPr>
              <w:jc w:val="center"/>
            </w:pPr>
            <w:r>
              <w:rPr>
                <w:rFonts w:ascii="Aptos Narrow" w:hAnsi="Aptos Narrow"/>
                <w:color w:val="000000"/>
              </w:rPr>
              <w:lastRenderedPageBreak/>
              <w:t>Dust mm debris removal</w:t>
            </w:r>
          </w:p>
        </w:tc>
        <w:tc>
          <w:tcPr>
            <w:tcW w:w="1385" w:type="dxa"/>
          </w:tcPr>
          <w:p w14:paraId="3F877722" w14:textId="34456D14" w:rsidR="003D4E4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Remediation</w:t>
            </w:r>
          </w:p>
        </w:tc>
        <w:tc>
          <w:tcPr>
            <w:tcW w:w="1745" w:type="dxa"/>
          </w:tcPr>
          <w:p w14:paraId="447EEE0F" w14:textId="66766EA8" w:rsidR="003D4E4B" w:rsidRPr="004B457C"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1618</w:t>
            </w:r>
          </w:p>
        </w:tc>
        <w:tc>
          <w:tcPr>
            <w:tcW w:w="1701" w:type="dxa"/>
          </w:tcPr>
          <w:p w14:paraId="547F985B" w14:textId="68800D6D" w:rsidR="003D4E4B" w:rsidRPr="004B457C"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0</w:t>
            </w:r>
          </w:p>
        </w:tc>
        <w:tc>
          <w:tcPr>
            <w:tcW w:w="2414" w:type="dxa"/>
          </w:tcPr>
          <w:p w14:paraId="3722DC60" w14:textId="16AA77EB" w:rsidR="003D4E4B" w:rsidRDefault="00C35799"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sidRPr="0024750B">
              <w:rPr>
                <w:rFonts w:ascii="Aptos Narrow" w:hAnsi="Aptos Narrow"/>
                <w:color w:val="000000"/>
              </w:rPr>
              <w:t>All debris with mass-to-area ratios &lt;5 from orbits of 1100 km and lower</w:t>
            </w:r>
          </w:p>
        </w:tc>
      </w:tr>
      <w:tr w:rsidR="003D4E4B" w14:paraId="26F4F92A" w14:textId="25944027" w:rsidTr="00C146CF">
        <w:trPr>
          <w:trHeight w:val="414"/>
        </w:trPr>
        <w:tc>
          <w:tcPr>
            <w:cnfStyle w:val="001000000000" w:firstRow="0" w:lastRow="0" w:firstColumn="1" w:lastColumn="0" w:oddVBand="0" w:evenVBand="0" w:oddHBand="0" w:evenHBand="0" w:firstRowFirstColumn="0" w:firstRowLastColumn="0" w:lastRowFirstColumn="0" w:lastRowLastColumn="0"/>
            <w:tcW w:w="2115" w:type="dxa"/>
          </w:tcPr>
          <w:p w14:paraId="5443BCBF" w14:textId="6FE45386" w:rsidR="003D4E4B" w:rsidRDefault="003D4E4B" w:rsidP="00CF32FD">
            <w:pPr>
              <w:jc w:val="center"/>
            </w:pPr>
            <w:r>
              <w:rPr>
                <w:rFonts w:ascii="Aptos Narrow" w:hAnsi="Aptos Narrow"/>
                <w:color w:val="000000"/>
              </w:rPr>
              <w:t>Laser ranging</w:t>
            </w:r>
          </w:p>
        </w:tc>
        <w:tc>
          <w:tcPr>
            <w:tcW w:w="1385" w:type="dxa"/>
          </w:tcPr>
          <w:p w14:paraId="2BF44FAE" w14:textId="2565348A" w:rsidR="003D4E4B"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Tracking</w:t>
            </w:r>
          </w:p>
        </w:tc>
        <w:tc>
          <w:tcPr>
            <w:tcW w:w="1745" w:type="dxa"/>
          </w:tcPr>
          <w:p w14:paraId="0F64DBC3" w14:textId="369D6B86" w:rsidR="003D4E4B" w:rsidRPr="00F20112"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140</w:t>
            </w:r>
          </w:p>
        </w:tc>
        <w:tc>
          <w:tcPr>
            <w:tcW w:w="1701" w:type="dxa"/>
          </w:tcPr>
          <w:p w14:paraId="2B4F9432" w14:textId="5032C1E7" w:rsidR="003D4E4B" w:rsidRPr="00F20112" w:rsidRDefault="003D4E4B"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7</w:t>
            </w:r>
          </w:p>
        </w:tc>
        <w:tc>
          <w:tcPr>
            <w:tcW w:w="2414" w:type="dxa"/>
          </w:tcPr>
          <w:p w14:paraId="436DD6A9" w14:textId="24C73309" w:rsidR="003D4E4B" w:rsidRDefault="00533C0C" w:rsidP="00CF32F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100x reduction in false positive conjunction predictions involving tracked objects</w:t>
            </w:r>
          </w:p>
        </w:tc>
      </w:tr>
      <w:tr w:rsidR="003D4E4B" w14:paraId="1F28CE8C" w14:textId="683C2BA1" w:rsidTr="00C146CF">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15" w:type="dxa"/>
          </w:tcPr>
          <w:p w14:paraId="569DF669" w14:textId="4645AD09" w:rsidR="003D4E4B" w:rsidRDefault="003D4E4B" w:rsidP="00CF32FD">
            <w:pPr>
              <w:jc w:val="center"/>
            </w:pPr>
            <w:r>
              <w:rPr>
                <w:rFonts w:ascii="Aptos Narrow" w:hAnsi="Aptos Narrow"/>
                <w:color w:val="000000"/>
              </w:rPr>
              <w:t>Laser ranging and 2 new Space Fences</w:t>
            </w:r>
          </w:p>
        </w:tc>
        <w:tc>
          <w:tcPr>
            <w:tcW w:w="1385" w:type="dxa"/>
          </w:tcPr>
          <w:p w14:paraId="2C796AA8" w14:textId="7A0BFE3E" w:rsidR="003D4E4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Tracking</w:t>
            </w:r>
          </w:p>
        </w:tc>
        <w:tc>
          <w:tcPr>
            <w:tcW w:w="1745" w:type="dxa"/>
          </w:tcPr>
          <w:p w14:paraId="5F0EA86E" w14:textId="392597C5" w:rsidR="003D4E4B" w:rsidRPr="00E578D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840</w:t>
            </w:r>
          </w:p>
        </w:tc>
        <w:tc>
          <w:tcPr>
            <w:tcW w:w="1701" w:type="dxa"/>
          </w:tcPr>
          <w:p w14:paraId="50607301" w14:textId="723C3528" w:rsidR="003D4E4B" w:rsidRPr="00E578DB" w:rsidRDefault="003D4E4B"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62</w:t>
            </w:r>
          </w:p>
        </w:tc>
        <w:tc>
          <w:tcPr>
            <w:tcW w:w="2414" w:type="dxa"/>
          </w:tcPr>
          <w:p w14:paraId="67629EA5" w14:textId="08FDB0BF" w:rsidR="003D4E4B" w:rsidRDefault="00E32023" w:rsidP="00CF32F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Pr>
                <w:rFonts w:ascii="Aptos Narrow" w:hAnsi="Aptos Narrow"/>
                <w:color w:val="000000"/>
              </w:rPr>
              <w:t xml:space="preserve">All debris &gt;1 cm is tracked and 100x reduction in </w:t>
            </w:r>
            <w:r w:rsidR="00F0605A">
              <w:rPr>
                <w:rFonts w:ascii="Aptos Narrow" w:hAnsi="Aptos Narrow"/>
                <w:color w:val="000000"/>
              </w:rPr>
              <w:t>false positive</w:t>
            </w:r>
            <w:r w:rsidR="00533C0C">
              <w:rPr>
                <w:rFonts w:ascii="Aptos Narrow" w:hAnsi="Aptos Narrow"/>
                <w:color w:val="000000"/>
              </w:rPr>
              <w:t xml:space="preserve"> conjunction predictions involving tracked objects</w:t>
            </w:r>
          </w:p>
        </w:tc>
      </w:tr>
    </w:tbl>
    <w:p w14:paraId="0A430792" w14:textId="77777777" w:rsidR="00501C40" w:rsidRDefault="00501C40" w:rsidP="00501C40">
      <w:pPr>
        <w:pStyle w:val="Heading2"/>
      </w:pPr>
      <w:bookmarkStart w:id="12" w:name="_Toc192166300"/>
      <w:r>
        <w:t>Discounting and the timing of costs and benefits</w:t>
      </w:r>
      <w:bookmarkEnd w:id="12"/>
    </w:p>
    <w:p w14:paraId="7853F721" w14:textId="3733D211" w:rsidR="008502F2" w:rsidRDefault="00501C40" w:rsidP="00501C40">
      <w:r>
        <w:t>This report accounts for the timing of the costs and benefits from different actions by discounting benefits received or costs incurred in any given year back to the first year of analysis (“year 0”). Discounting is a widely used method to account for a basic economic principle: dollars spent or received in one year are not the same as dollars spent or received in another. As with any investment, investing in space sustainability comes at the cost of not investing in something else.</w:t>
      </w:r>
      <w:r w:rsidR="008502F2">
        <w:t xml:space="preserve"> </w:t>
      </w:r>
    </w:p>
    <w:p w14:paraId="488612A0" w14:textId="7BAF94C2" w:rsidR="00501C40" w:rsidRDefault="008502F2" w:rsidP="00581647">
      <w:pPr>
        <w:ind w:firstLine="360"/>
      </w:pPr>
      <w:r>
        <w:t xml:space="preserve">The discount rate measures the rate at which society is willing to </w:t>
      </w:r>
      <w:r w:rsidR="0058508B">
        <w:t>give up</w:t>
      </w:r>
      <w:r>
        <w:t xml:space="preserve"> </w:t>
      </w:r>
      <w:r w:rsidR="0058508B">
        <w:t>benefits that would be received</w:t>
      </w:r>
      <w:r w:rsidR="00CD770E">
        <w:t xml:space="preserve"> today </w:t>
      </w:r>
      <w:r w:rsidR="0058508B">
        <w:t>in exchange for</w:t>
      </w:r>
      <w:r w:rsidR="00CD770E">
        <w:t xml:space="preserve"> </w:t>
      </w:r>
      <w:r w:rsidR="0058508B">
        <w:t>benefits that are received in the future</w:t>
      </w:r>
      <w:r w:rsidR="00501C40">
        <w:t xml:space="preserve"> </w:t>
      </w:r>
      <w:sdt>
        <w:sdtPr>
          <w:id w:val="526456565"/>
          <w:citation/>
        </w:sdtPr>
        <w:sdtEndPr/>
        <w:sdtContent>
          <w:r w:rsidR="00501C40">
            <w:fldChar w:fldCharType="begin"/>
          </w:r>
          <w:r w:rsidR="00501C40">
            <w:instrText xml:space="preserve"> CITATION OMB23 \l 1033 </w:instrText>
          </w:r>
          <w:r w:rsidR="00501C40">
            <w:fldChar w:fldCharType="separate"/>
          </w:r>
          <w:r w:rsidR="00A466B0">
            <w:rPr>
              <w:noProof/>
            </w:rPr>
            <w:t>(OMB 2023)</w:t>
          </w:r>
          <w:r w:rsidR="00501C40">
            <w:fldChar w:fldCharType="end"/>
          </w:r>
        </w:sdtContent>
      </w:sdt>
      <w:r w:rsidR="00501C40">
        <w:t>. Applied in this analysis, the discount rate represents the</w:t>
      </w:r>
      <w:r w:rsidR="0058508B">
        <w:t xml:space="preserve"> rate at which society is willing to give up funds that could be spent on things today in exchange for investments in space sustainability that bear fruit in the future</w:t>
      </w:r>
      <w:r w:rsidR="00501C40">
        <w:t xml:space="preserve">. Mechanically, if the discount rate is a </w:t>
      </w:r>
      <w:r w:rsidR="00831E4B">
        <w:t>constant,</w:t>
      </w:r>
      <w:r w:rsidR="00501C40">
        <w:t xml:space="preserve"> a dollar value of benefits or costs received in year  is discounted to year 0 dollars by multiplying the dollar value by</w:t>
      </w:r>
      <w:r w:rsidR="00501C40">
        <w:rPr>
          <w:color w:val="FF0000"/>
        </w:rPr>
        <w:t xml:space="preserve"> </w:t>
      </w:r>
      <w:r w:rsidR="00501C40">
        <w:t>. The discounted dollar value is referred to as a “present value”.</w:t>
      </w:r>
      <w:r w:rsidR="00501C40">
        <w:rPr>
          <w:rStyle w:val="FootnoteReference"/>
        </w:rPr>
        <w:footnoteReference w:id="3"/>
      </w:r>
    </w:p>
    <w:p w14:paraId="5A8572DE" w14:textId="77777777" w:rsidR="00501C40" w:rsidRDefault="00501C40" w:rsidP="00581647">
      <w:pPr>
        <w:ind w:firstLine="360"/>
      </w:pPr>
      <w:r>
        <w:t xml:space="preserve">The </w:t>
      </w:r>
      <w:r w:rsidRPr="00674C18">
        <w:t>present value</w:t>
      </w:r>
      <w:r>
        <w:t xml:space="preserve"> of a stream of benefits , discounted at time-varying rate , is:</w:t>
      </w:r>
    </w:p>
    <w:p w14:paraId="4C949A52" w14:textId="77777777" w:rsidR="00501C40" w:rsidRPr="00454126" w:rsidRDefault="00501C40" w:rsidP="00501C40">
      <w:pPr>
        <w:rPr>
          <w:rFonts w:eastAsiaTheme="minorEastAsia"/>
        </w:rPr>
      </w:pPr>
    </w:p>
    <w:p w14:paraId="37A8E0BE" w14:textId="14E3644F" w:rsidR="0058508B" w:rsidRDefault="00501C40" w:rsidP="0058508B">
      <w:r>
        <w:t xml:space="preserve">An example may help clarify mechanics and interpretation. Suppose in year 0 a group of space operators invested $1M in a portfolio of space sustainability actions that unfolded over 30 years, rather than risk-free Treasury securities with a 2% rate of return. At year 30, suppose the space sustainability portfolio produced $1.81M in benefits to the space operators – for simplicity, suppose these benefits were received only in year 30, with no benefits at all in the intervening years. The space operators could have invested the $1M in the Treasury securities and earned the same $1.81M over the 30-year period. While a simple comparison of undiscounted benefits to costs would suggest the space operators earned $0.81M in net benefits, they could have earned the same return by purchasing risk-free Treasury securities and waiting. Discounting the benefits produced by the sustainability portfolio reflects this: the present value of the benefits is $ </w:t>
      </w:r>
      <w:r>
        <w:rPr>
          <w:rFonts w:eastAsiaTheme="minorEastAsia"/>
        </w:rPr>
        <w:t>M</w:t>
      </w:r>
      <w:r>
        <w:t xml:space="preserve"> = $1M, and the net present value of net benefits is $0.</w:t>
      </w:r>
      <w:r w:rsidR="0058508B">
        <w:t xml:space="preserve"> This portfolio is therefore no better a use of funds than simply investing in risk-free Treasury securities and waiting.</w:t>
      </w:r>
      <w:r w:rsidR="0058508B">
        <w:rPr>
          <w:rStyle w:val="FootnoteReference"/>
        </w:rPr>
        <w:footnoteReference w:id="4"/>
      </w:r>
    </w:p>
    <w:p w14:paraId="4BAF1E60" w14:textId="24D0C5EF" w:rsidR="00501C40" w:rsidRDefault="00501C40" w:rsidP="00EE2CB8">
      <w:pPr>
        <w:ind w:firstLine="360"/>
      </w:pPr>
      <w:r>
        <w:t xml:space="preserve">Figure </w:t>
      </w:r>
      <w:r w:rsidR="00C146CF">
        <w:t>3</w:t>
      </w:r>
      <w:r>
        <w:t xml:space="preserve"> illustrates how discounting would affect benefits received in different years. The solid line shows the</w:t>
      </w:r>
      <w:r w:rsidR="00993751">
        <w:t xml:space="preserve"> hypothetical</w:t>
      </w:r>
      <w:r>
        <w:t xml:space="preserve"> growth of an undiscounted stream of benefits</w:t>
      </w:r>
      <w:r w:rsidR="0058508B">
        <w:t xml:space="preserve"> from an arbitrary action</w:t>
      </w:r>
      <w:r>
        <w:t>, the dotted line shows the growth of the same stream of benefits using a 2% discount rate, and the dashed line shows the growth of the same stream of benefits using a 1.5% discount rate.</w:t>
      </w:r>
    </w:p>
    <w:p w14:paraId="1E81C171" w14:textId="77777777" w:rsidR="005D125A" w:rsidRDefault="005D125A" w:rsidP="00581647">
      <w:pPr>
        <w:ind w:firstLine="360"/>
      </w:pPr>
    </w:p>
    <w:p w14:paraId="0B6E0430" w14:textId="77777777" w:rsidR="00C146CF" w:rsidRDefault="00501C40" w:rsidP="00C146CF">
      <w:pPr>
        <w:keepNext/>
      </w:pPr>
      <w:r>
        <w:rPr>
          <w:noProof/>
        </w:rPr>
        <w:lastRenderedPageBreak/>
        <w:drawing>
          <wp:inline distT="0" distB="0" distL="0" distR="0" wp14:anchorId="60EC3422" wp14:editId="6098E45A">
            <wp:extent cx="5943600" cy="2971800"/>
            <wp:effectExtent l="0" t="0" r="0" b="0"/>
            <wp:docPr id="243852731" name="Picture 24385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60446" name="Picture 5141604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82D2185" w14:textId="1F44EB9D" w:rsidR="00501C40" w:rsidRPr="0080793B" w:rsidRDefault="00C146CF" w:rsidP="00C146CF">
      <w:pPr>
        <w:pStyle w:val="Caption"/>
      </w:pPr>
      <w:r>
        <w:t xml:space="preserve">Figure </w:t>
      </w:r>
      <w:r>
        <w:fldChar w:fldCharType="begin"/>
      </w:r>
      <w:r>
        <w:instrText xml:space="preserve"> SEQ Figure \* ARABIC </w:instrText>
      </w:r>
      <w:r>
        <w:fldChar w:fldCharType="separate"/>
      </w:r>
      <w:r w:rsidR="001F0D0C">
        <w:rPr>
          <w:noProof/>
        </w:rPr>
        <w:t>3</w:t>
      </w:r>
      <w:r>
        <w:rPr>
          <w:noProof/>
        </w:rPr>
        <w:fldChar w:fldCharType="end"/>
      </w:r>
      <w:r>
        <w:t>: Examples of the effects of discounting at different rates.</w:t>
      </w:r>
    </w:p>
    <w:p w14:paraId="166B9A39" w14:textId="523970D8" w:rsidR="00501C40" w:rsidRDefault="00501C40" w:rsidP="00EE2CB8">
      <w:pPr>
        <w:ind w:firstLine="360"/>
      </w:pPr>
      <w:r>
        <w:t>The fact that space sustainability actions taken now can have very long-term effects introduces additional considerations to discounting future benefits and costs.</w:t>
      </w:r>
      <w:r w:rsidR="0058508B">
        <w:t xml:space="preserve"> For benefits and costs accruing over “short” time horizons (i.e., up to 30 years) OMB recommends discounting using the interest rates on 30-year Treasury bonds. These rates reflect the</w:t>
      </w:r>
      <w:r w:rsidR="00993751">
        <w:t xml:space="preserve"> </w:t>
      </w:r>
      <w:r w:rsidR="0058508B">
        <w:t xml:space="preserve">willingness </w:t>
      </w:r>
      <w:r w:rsidR="00993751">
        <w:t xml:space="preserve">of the US government and its counterparties (i.e., the buyers of the bonds) </w:t>
      </w:r>
      <w:r w:rsidR="0058508B">
        <w:t xml:space="preserve">to trade funds available today for funds available </w:t>
      </w:r>
      <w:r w:rsidR="00993751">
        <w:t>in the future</w:t>
      </w:r>
      <w:r>
        <w:t xml:space="preserve">. But for extremely long periods of time, e.g., several decades or centuries, there are no markets from which to infer these intertemporal preferences. To address this issue, OMB provides a discount rate schedule for use in long-term </w:t>
      </w:r>
      <w:r w:rsidR="00993751">
        <w:t>analysis</w:t>
      </w:r>
      <w:r>
        <w:t xml:space="preserve">. The use of the OMB discount rates (shown in Table </w:t>
      </w:r>
      <w:r w:rsidR="00C146CF">
        <w:t>4</w:t>
      </w:r>
      <w:r>
        <w:t xml:space="preserve"> below) therefore approximates the </w:t>
      </w:r>
      <w:r w:rsidR="00993751">
        <w:t xml:space="preserve">rate at which the US government is willing to give up funds available today in exchange for the benefits from space sustainability investments </w:t>
      </w:r>
      <w:r>
        <w:t xml:space="preserve">over long time horizons. </w:t>
      </w:r>
      <w:r w:rsidRPr="007944AD">
        <w:t xml:space="preserve">See OMB Circular </w:t>
      </w:r>
      <w:r>
        <w:t xml:space="preserve">No. </w:t>
      </w:r>
      <w:r w:rsidRPr="007944AD">
        <w:t>A-4 for more details.</w:t>
      </w:r>
      <w:r>
        <w:t xml:space="preserve"> </w:t>
      </w:r>
    </w:p>
    <w:p w14:paraId="3720B98A" w14:textId="77777777" w:rsidR="005D125A" w:rsidRPr="00993751" w:rsidRDefault="005D125A" w:rsidP="00581647">
      <w:pPr>
        <w:ind w:firstLine="360"/>
      </w:pPr>
    </w:p>
    <w:p w14:paraId="167A7C8E" w14:textId="773DC7D2" w:rsidR="00C146CF" w:rsidRDefault="00C146CF" w:rsidP="00C146CF">
      <w:pPr>
        <w:pStyle w:val="Caption"/>
        <w:keepNext/>
      </w:pPr>
      <w:r>
        <w:t xml:space="preserve">Table </w:t>
      </w:r>
      <w:r>
        <w:fldChar w:fldCharType="begin"/>
      </w:r>
      <w:r>
        <w:instrText xml:space="preserve"> SEQ Table \* ARABIC </w:instrText>
      </w:r>
      <w:r>
        <w:fldChar w:fldCharType="separate"/>
      </w:r>
      <w:r w:rsidR="001F0D0C">
        <w:rPr>
          <w:noProof/>
        </w:rPr>
        <w:t>4</w:t>
      </w:r>
      <w:r>
        <w:rPr>
          <w:noProof/>
        </w:rPr>
        <w:fldChar w:fldCharType="end"/>
      </w:r>
      <w:r>
        <w:t>: Discounting schedule used in this study.</w:t>
      </w:r>
    </w:p>
    <w:tbl>
      <w:tblPr>
        <w:tblStyle w:val="OTPSPlain"/>
        <w:tblW w:w="0" w:type="auto"/>
        <w:tblLook w:val="04A0" w:firstRow="1" w:lastRow="0" w:firstColumn="1" w:lastColumn="0" w:noHBand="0" w:noVBand="1"/>
      </w:tblPr>
      <w:tblGrid>
        <w:gridCol w:w="4680"/>
        <w:gridCol w:w="4680"/>
      </w:tblGrid>
      <w:tr w:rsidR="00501C40" w14:paraId="7677D1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9084B4F" w14:textId="77777777" w:rsidR="00501C40" w:rsidRDefault="00501C40">
            <w:pPr>
              <w:spacing w:before="192"/>
            </w:pPr>
            <w:r>
              <w:rPr>
                <w:rFonts w:ascii="Aptos Narrow" w:hAnsi="Aptos Narrow"/>
                <w:color w:val="000000"/>
              </w:rPr>
              <w:t>Years</w:t>
            </w:r>
          </w:p>
        </w:tc>
        <w:tc>
          <w:tcPr>
            <w:tcW w:w="4680" w:type="dxa"/>
          </w:tcPr>
          <w:p w14:paraId="0E3DDDEF" w14:textId="77777777" w:rsidR="00501C40" w:rsidRDefault="00501C40">
            <w:pPr>
              <w:spacing w:before="192"/>
              <w:cnfStyle w:val="100000000000" w:firstRow="1" w:lastRow="0" w:firstColumn="0" w:lastColumn="0" w:oddVBand="0" w:evenVBand="0" w:oddHBand="0" w:evenHBand="0" w:firstRowFirstColumn="0" w:firstRowLastColumn="0" w:lastRowFirstColumn="0" w:lastRowLastColumn="0"/>
            </w:pPr>
            <w:r>
              <w:rPr>
                <w:rFonts w:ascii="Aptos Narrow" w:hAnsi="Aptos Narrow"/>
                <w:color w:val="000000"/>
              </w:rPr>
              <w:t>Discount rate ()</w:t>
            </w:r>
          </w:p>
        </w:tc>
      </w:tr>
      <w:tr w:rsidR="00501C40" w14:paraId="3CDFB0B9" w14:textId="77777777">
        <w:tc>
          <w:tcPr>
            <w:cnfStyle w:val="001000000000" w:firstRow="0" w:lastRow="0" w:firstColumn="1" w:lastColumn="0" w:oddVBand="0" w:evenVBand="0" w:oddHBand="0" w:evenHBand="0" w:firstRowFirstColumn="0" w:firstRowLastColumn="0" w:lastRowFirstColumn="0" w:lastRowLastColumn="0"/>
            <w:tcW w:w="4680" w:type="dxa"/>
          </w:tcPr>
          <w:p w14:paraId="6DA14DEB" w14:textId="77777777" w:rsidR="00501C40" w:rsidRDefault="00501C40">
            <w:pPr>
              <w:jc w:val="center"/>
            </w:pPr>
            <w:r>
              <w:rPr>
                <w:rFonts w:ascii="Aptos Narrow" w:hAnsi="Aptos Narrow"/>
                <w:color w:val="000000"/>
              </w:rPr>
              <w:t>2023-2079</w:t>
            </w:r>
          </w:p>
        </w:tc>
        <w:tc>
          <w:tcPr>
            <w:tcW w:w="4680" w:type="dxa"/>
          </w:tcPr>
          <w:p w14:paraId="603719A5" w14:textId="77777777" w:rsidR="00501C40" w:rsidRDefault="00501C40">
            <w:pPr>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rPr>
              <w:t>2%</w:t>
            </w:r>
          </w:p>
        </w:tc>
      </w:tr>
      <w:tr w:rsidR="00501C40" w14:paraId="1CD8FD1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C8B849E" w14:textId="77777777" w:rsidR="00501C40" w:rsidRDefault="00501C40">
            <w:pPr>
              <w:jc w:val="center"/>
            </w:pPr>
            <w:r>
              <w:rPr>
                <w:rFonts w:ascii="Aptos Narrow" w:hAnsi="Aptos Narrow"/>
                <w:color w:val="000000"/>
              </w:rPr>
              <w:t>2080-2094</w:t>
            </w:r>
          </w:p>
        </w:tc>
        <w:tc>
          <w:tcPr>
            <w:tcW w:w="4680" w:type="dxa"/>
          </w:tcPr>
          <w:p w14:paraId="3F6B9251" w14:textId="77777777" w:rsidR="00501C40" w:rsidRDefault="00501C40">
            <w:pPr>
              <w:jc w:val="center"/>
              <w:cnfStyle w:val="000000010000" w:firstRow="0" w:lastRow="0" w:firstColumn="0" w:lastColumn="0" w:oddVBand="0" w:evenVBand="0" w:oddHBand="0" w:evenHBand="1" w:firstRowFirstColumn="0" w:firstRowLastColumn="0" w:lastRowFirstColumn="0" w:lastRowLastColumn="0"/>
            </w:pPr>
            <w:r>
              <w:rPr>
                <w:rFonts w:ascii="Aptos Narrow" w:hAnsi="Aptos Narrow"/>
                <w:color w:val="000000"/>
              </w:rPr>
              <w:t>1.9%</w:t>
            </w:r>
          </w:p>
        </w:tc>
      </w:tr>
    </w:tbl>
    <w:p w14:paraId="6FF2C632" w14:textId="0F98F16B" w:rsidR="00C12AEA" w:rsidRDefault="00B1195B" w:rsidP="00FE6981">
      <w:pPr>
        <w:pStyle w:val="Heading1"/>
      </w:pPr>
      <w:bookmarkStart w:id="13" w:name="_Toc192166301"/>
      <w:r>
        <w:lastRenderedPageBreak/>
        <w:t>Results</w:t>
      </w:r>
      <w:bookmarkEnd w:id="13"/>
    </w:p>
    <w:p w14:paraId="3BCAE6D1" w14:textId="00EDB658" w:rsidR="00C12AEA" w:rsidRDefault="00575AAA" w:rsidP="00C12AEA">
      <w:r>
        <w:t xml:space="preserve">Space sustainability actions are not typically analyzed in </w:t>
      </w:r>
      <w:r w:rsidR="00362FA3">
        <w:t>NPV terms, nor are they typically combined</w:t>
      </w:r>
      <w:r w:rsidR="00C56705">
        <w:t>, nor are their effects typically analyzed in an ensemble of models</w:t>
      </w:r>
      <w:r w:rsidR="00362FA3">
        <w:t>. We therefore</w:t>
      </w:r>
      <w:r w:rsidR="00C12AEA">
        <w:t xml:space="preserve"> build</w:t>
      </w:r>
      <w:r w:rsidR="00C56705">
        <w:t xml:space="preserve"> the reader’s</w:t>
      </w:r>
      <w:r w:rsidR="00C12AEA">
        <w:t xml:space="preserve"> intuition</w:t>
      </w:r>
      <w:r w:rsidR="00FE6981">
        <w:t xml:space="preserve"> about the </w:t>
      </w:r>
      <w:r w:rsidR="008D0448">
        <w:t>NPV effects of combining</w:t>
      </w:r>
      <w:r w:rsidR="00FE6981">
        <w:t xml:space="preserve"> actions</w:t>
      </w:r>
      <w:r w:rsidR="00362FA3">
        <w:t xml:space="preserve"> by</w:t>
      </w:r>
      <w:r w:rsidR="00FE6981">
        <w:t xml:space="preserve"> first present</w:t>
      </w:r>
      <w:r w:rsidR="00362FA3">
        <w:t>ing</w:t>
      </w:r>
      <w:r w:rsidR="00FE6981">
        <w:t xml:space="preserve"> the </w:t>
      </w:r>
      <w:r w:rsidR="00E31B24">
        <w:t>NPVs</w:t>
      </w:r>
      <w:r w:rsidR="00FE6981">
        <w:t xml:space="preserve"> of individual </w:t>
      </w:r>
      <w:r w:rsidR="00C56705">
        <w:t xml:space="preserve">actions under each model, then presenting </w:t>
      </w:r>
      <w:r w:rsidR="008F724E">
        <w:t>the pairwise interactions between individual actions under each model</w:t>
      </w:r>
      <w:r w:rsidR="009A1DAF">
        <w:t>. With these elements in hand, we</w:t>
      </w:r>
      <w:r w:rsidR="008F724E">
        <w:t xml:space="preserve"> </w:t>
      </w:r>
      <w:r w:rsidR="009A1DAF">
        <w:t>analyze</w:t>
      </w:r>
      <w:r w:rsidR="008F724E">
        <w:t xml:space="preserve"> the </w:t>
      </w:r>
      <w:r w:rsidR="001D0E75">
        <w:t>efficient</w:t>
      </w:r>
      <w:r w:rsidR="008F724E">
        <w:t xml:space="preserve"> space sustainability portfolios under each model</w:t>
      </w:r>
      <w:r w:rsidR="009A1DAF">
        <w:t xml:space="preserve"> and</w:t>
      </w:r>
      <w:r w:rsidR="005756B5">
        <w:t xml:space="preserve"> assess the effects of reducing the TTV on the actions in the </w:t>
      </w:r>
      <w:r w:rsidR="001D0E75">
        <w:t>efficient</w:t>
      </w:r>
      <w:r w:rsidR="005756B5">
        <w:t xml:space="preserve"> portfolio</w:t>
      </w:r>
      <w:r w:rsidR="009A1DAF">
        <w:t xml:space="preserve">. </w:t>
      </w:r>
    </w:p>
    <w:p w14:paraId="3F9CE44C" w14:textId="74C4C51D" w:rsidR="00657586" w:rsidRDefault="00657586" w:rsidP="00AB6B4D">
      <w:pPr>
        <w:pStyle w:val="Heading2"/>
      </w:pPr>
      <w:bookmarkStart w:id="14" w:name="_Toc192166302"/>
      <w:r>
        <w:t>Net benefits of individual actions</w:t>
      </w:r>
      <w:bookmarkEnd w:id="14"/>
    </w:p>
    <w:p w14:paraId="13D07B28" w14:textId="5746DC4A" w:rsidR="0053094E" w:rsidRDefault="00B46C56" w:rsidP="00DE5FD1">
      <w:r w:rsidRPr="00BC62B9">
        <w:rPr>
          <w:color w:val="000000" w:themeColor="text1"/>
        </w:rPr>
        <w:t xml:space="preserve">Figure </w:t>
      </w:r>
      <w:r w:rsidR="00BC62B9" w:rsidRPr="00BC62B9">
        <w:rPr>
          <w:color w:val="000000" w:themeColor="text1"/>
        </w:rPr>
        <w:t>4</w:t>
      </w:r>
      <w:r w:rsidRPr="00BC62B9">
        <w:rPr>
          <w:color w:val="000000" w:themeColor="text1"/>
        </w:rPr>
        <w:t xml:space="preserve"> shows </w:t>
      </w:r>
      <w:r>
        <w:t xml:space="preserve">the NPV of net benefits from individual actions under Models 1 and 2. </w:t>
      </w:r>
      <w:r w:rsidR="00993751">
        <w:t xml:space="preserve">In general, the ranking of NPVs matches the ranking of actions identified in the Phase 2 report. </w:t>
      </w:r>
      <w:r w:rsidR="00945C60">
        <w:t xml:space="preserve">Note that the estimated NPV magnitudes are accumulated over the entire 60-year analysis horizon. To put the estimated magnitudes in </w:t>
      </w:r>
      <w:r w:rsidR="00877B8B">
        <w:t>terms of annual flows</w:t>
      </w:r>
      <w:r w:rsidR="00945C60">
        <w:t xml:space="preserve">, </w:t>
      </w:r>
      <w:r w:rsidR="00E51F78">
        <w:t>one can divide the values by 60 to approximate the equivalent annual flow of benefits implied by these NPVs.</w:t>
      </w:r>
      <w:r w:rsidR="00F02D04">
        <w:rPr>
          <w:rStyle w:val="FootnoteReference"/>
        </w:rPr>
        <w:footnoteReference w:id="5"/>
      </w:r>
      <w:r w:rsidR="00BD470E">
        <w:t xml:space="preserve"> Thus, shielding against 5mm debris under Model 1 is expected to generate around $38B/year in</w:t>
      </w:r>
      <w:r w:rsidR="004A7178">
        <w:t xml:space="preserve"> net</w:t>
      </w:r>
      <w:r w:rsidR="00BD470E">
        <w:t xml:space="preserve"> benefits due to reduced risk </w:t>
      </w:r>
      <w:r w:rsidR="00F02D04">
        <w:t>from interacting with small debris (i.e., 5mm or smaller).</w:t>
      </w:r>
      <w:r w:rsidR="004A7178">
        <w:t xml:space="preserve"> Similarly, 0-year PMD under Model 2 is expected to generate around $1B/year in net benefits due to </w:t>
      </w:r>
      <w:r w:rsidR="00627945">
        <w:t>reduced risk from interacting with large debris.</w:t>
      </w:r>
      <w:r w:rsidR="00627945">
        <w:rPr>
          <w:rStyle w:val="FootnoteReference"/>
        </w:rPr>
        <w:footnoteReference w:id="6"/>
      </w:r>
      <w:r w:rsidR="0053094E">
        <w:t xml:space="preserve"> </w:t>
      </w:r>
      <w:r>
        <w:t>Since ORDEM predicts a much higher level of small debris flux</w:t>
      </w:r>
      <w:r w:rsidR="00423E1F">
        <w:t xml:space="preserve"> and shedding</w:t>
      </w:r>
      <w:r>
        <w:t xml:space="preserve"> than MASTER, the benefits of </w:t>
      </w:r>
      <w:r w:rsidR="00776FB8">
        <w:t>all actions are higher under Model 1 than under Model 2 – simply put, having more encounters with small debris means there are</w:t>
      </w:r>
      <w:r w:rsidR="00423E1F">
        <w:t xml:space="preserve"> greater benefits to taking actions that reduce small debris shedding directly or indirectly.</w:t>
      </w:r>
      <w:r w:rsidR="00771B56">
        <w:t xml:space="preserve"> The implication of this difference is </w:t>
      </w:r>
      <w:r w:rsidR="00A06E4B">
        <w:t>roughly an order of magnitude in the estimated benefits</w:t>
      </w:r>
      <w:r w:rsidR="000711E3">
        <w:t xml:space="preserve">. For context, the </w:t>
      </w:r>
      <w:r w:rsidR="008F348F">
        <w:t xml:space="preserve">Satellite Industry Association estimated that the </w:t>
      </w:r>
      <w:r w:rsidR="000711E3">
        <w:t>global</w:t>
      </w:r>
      <w:r w:rsidR="008F348F">
        <w:t xml:space="preserve"> commercial satellite industry generated revenues of around $400B in 2023 </w:t>
      </w:r>
      <w:sdt>
        <w:sdtPr>
          <w:id w:val="1423771336"/>
          <w:citation/>
        </w:sdtPr>
        <w:sdtEndPr/>
        <w:sdtContent>
          <w:r w:rsidR="008F348F">
            <w:fldChar w:fldCharType="begin"/>
          </w:r>
          <w:r w:rsidR="008F348F">
            <w:instrText xml:space="preserve"> CITATION Sat24 \l 1033 </w:instrText>
          </w:r>
          <w:r w:rsidR="008F348F">
            <w:fldChar w:fldCharType="separate"/>
          </w:r>
          <w:r w:rsidR="00A466B0">
            <w:rPr>
              <w:noProof/>
            </w:rPr>
            <w:t>(Satellite Industry Association 2024)</w:t>
          </w:r>
          <w:r w:rsidR="008F348F">
            <w:fldChar w:fldCharType="end"/>
          </w:r>
        </w:sdtContent>
      </w:sdt>
      <w:r w:rsidR="00964801">
        <w:t>.</w:t>
      </w:r>
      <w:r w:rsidR="008F348F">
        <w:t xml:space="preserve"> </w:t>
      </w:r>
      <w:r w:rsidR="000711E3">
        <w:t xml:space="preserve"> </w:t>
      </w:r>
    </w:p>
    <w:p w14:paraId="332F114C" w14:textId="77777777" w:rsidR="00993751" w:rsidRDefault="00993751" w:rsidP="00993751"/>
    <w:p w14:paraId="51D828A9" w14:textId="77777777" w:rsidR="00BC62B9" w:rsidRDefault="00AE45E5" w:rsidP="00BC62B9">
      <w:pPr>
        <w:keepNext/>
      </w:pPr>
      <w:r>
        <w:rPr>
          <w:noProof/>
        </w:rPr>
        <w:lastRenderedPageBreak/>
        <w:drawing>
          <wp:inline distT="0" distB="0" distL="0" distR="0" wp14:anchorId="6793381D" wp14:editId="463A3F7A">
            <wp:extent cx="5943600" cy="4160520"/>
            <wp:effectExtent l="0" t="0" r="0" b="5080"/>
            <wp:docPr id="1230920922" name="Picture 123092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20922" name="Picture 12309209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61E54258" w14:textId="1D0C8F2B" w:rsidR="00993751" w:rsidRDefault="00BC62B9" w:rsidP="00BC62B9">
      <w:pPr>
        <w:pStyle w:val="Caption"/>
      </w:pPr>
      <w:r>
        <w:t xml:space="preserve">Figure </w:t>
      </w:r>
      <w:r>
        <w:fldChar w:fldCharType="begin"/>
      </w:r>
      <w:r>
        <w:instrText xml:space="preserve"> SEQ Figure \* ARABIC </w:instrText>
      </w:r>
      <w:r>
        <w:fldChar w:fldCharType="separate"/>
      </w:r>
      <w:r w:rsidR="001F0D0C">
        <w:rPr>
          <w:noProof/>
        </w:rPr>
        <w:t>4</w:t>
      </w:r>
      <w:r>
        <w:rPr>
          <w:noProof/>
        </w:rPr>
        <w:fldChar w:fldCharType="end"/>
      </w:r>
      <w:r>
        <w:t>: NPV of actions under each model when applied individually.</w:t>
      </w:r>
    </w:p>
    <w:p w14:paraId="4EE14718" w14:textId="2E6D65F3" w:rsidR="00945C60" w:rsidRDefault="0053094E" w:rsidP="00581647">
      <w:pPr>
        <w:ind w:firstLine="360"/>
      </w:pPr>
      <w:r>
        <w:t xml:space="preserve">The difference in small debris flux environments between models also implies </w:t>
      </w:r>
      <w:r w:rsidR="009B42D2">
        <w:t>very different ranks for actions that address millimeter-sized debris</w:t>
      </w:r>
      <w:r w:rsidR="00A06E4B">
        <w:t>.</w:t>
      </w:r>
      <w:r w:rsidR="009B42D2">
        <w:t xml:space="preserve"> Under Model 1, shielding against 5mm debris and </w:t>
      </w:r>
      <w:r w:rsidR="00DE5FD1">
        <w:t>the one-off use of dust to clear millimeter-sized debris from the space environment are the two most valuable single actions</w:t>
      </w:r>
      <w:r w:rsidR="00964801">
        <w:t xml:space="preserve"> analyzed</w:t>
      </w:r>
      <w:r w:rsidR="00DE5FD1">
        <w:t xml:space="preserve">. Under Model 2, both actions are among the least valuable single actions </w:t>
      </w:r>
      <w:r w:rsidR="00964801">
        <w:t>analyzed</w:t>
      </w:r>
      <w:r w:rsidR="00DE5FD1">
        <w:t xml:space="preserve">. </w:t>
      </w:r>
      <w:r w:rsidR="00771B56">
        <w:t>This makes sense,</w:t>
      </w:r>
      <w:r w:rsidR="00FD2EC3">
        <w:t xml:space="preserve"> since </w:t>
      </w:r>
      <w:r w:rsidR="00DE5FD1">
        <w:t>both actions</w:t>
      </w:r>
      <w:r w:rsidR="00FD2EC3">
        <w:t xml:space="preserve"> directly address risk from </w:t>
      </w:r>
      <w:r w:rsidR="00DE5FD1">
        <w:t xml:space="preserve">the </w:t>
      </w:r>
      <w:r w:rsidR="00FD2EC3">
        <w:t>small debris flux</w:t>
      </w:r>
      <w:r w:rsidR="00DE5FD1">
        <w:t>, and the models disagree over both the quantity of small debris flux and the rate at which it is produced through shedding</w:t>
      </w:r>
      <w:r w:rsidR="00B46C56">
        <w:t>.</w:t>
      </w:r>
    </w:p>
    <w:p w14:paraId="23BAC490" w14:textId="7C795FF3" w:rsidR="00945C60" w:rsidRDefault="00945C60" w:rsidP="00581647">
      <w:pPr>
        <w:ind w:firstLine="360"/>
      </w:pPr>
      <w:r>
        <w:t xml:space="preserve">These differences aside, the models agree on several other points. </w:t>
      </w:r>
      <w:r w:rsidR="00997244">
        <w:t>The top three actions that do not directly address millimeter-sized debris</w:t>
      </w:r>
      <w:r w:rsidR="009222AE">
        <w:t xml:space="preserve"> (i.e., ranks 3-6 under Model 1 and 1-3 under Model 2) are the same</w:t>
      </w:r>
      <w:r w:rsidR="001F1091">
        <w:t xml:space="preserve"> – a suite of tracking (reducing </w:t>
      </w:r>
      <w:r w:rsidR="009A6A12">
        <w:t xml:space="preserve">first-order </w:t>
      </w:r>
      <w:r w:rsidR="00EE6BDF">
        <w:t>risk from</w:t>
      </w:r>
      <w:r w:rsidR="001F1091">
        <w:t xml:space="preserve"> large objects), </w:t>
      </w:r>
      <w:r w:rsidR="00EE6BDF">
        <w:t xml:space="preserve">small debris removal (reducing </w:t>
      </w:r>
      <w:r w:rsidR="009A6A12">
        <w:t xml:space="preserve">first-order and higher-order </w:t>
      </w:r>
      <w:r w:rsidR="00EE6BDF">
        <w:t>risk from currently-untracked objects), and immediate post-mission disposal</w:t>
      </w:r>
      <w:r w:rsidR="008D1B3A">
        <w:t xml:space="preserve"> (reducing first-order and higher-order risk from large objects)</w:t>
      </w:r>
      <w:r w:rsidR="009222AE">
        <w:t>.</w:t>
      </w:r>
      <w:r w:rsidR="001F1091">
        <w:t xml:space="preserve"> Laser JCA, identified as a</w:t>
      </w:r>
      <w:r w:rsidR="008D1B3A">
        <w:t xml:space="preserve"> highly valuable action in the Phase 1 and 2 reports</w:t>
      </w:r>
      <w:r w:rsidR="00BD6FED">
        <w:t xml:space="preserve"> (based on a cost-benefit ratio)</w:t>
      </w:r>
      <w:r w:rsidR="008D1B3A">
        <w:t>, is not</w:t>
      </w:r>
      <w:r w:rsidR="00450567">
        <w:t xml:space="preserve"> among the top 5 most valuable single actions under either model here</w:t>
      </w:r>
      <w:r w:rsidR="00BD6FED">
        <w:t xml:space="preserve"> (based on NPV)</w:t>
      </w:r>
      <w:r w:rsidR="00450567">
        <w:t xml:space="preserve">. </w:t>
      </w:r>
      <w:r w:rsidR="00E71F46">
        <w:t xml:space="preserve">As in the Phase 1 and 2 reports, </w:t>
      </w:r>
      <w:r w:rsidR="00300CB7">
        <w:t xml:space="preserve">uncontrolled </w:t>
      </w:r>
      <w:r w:rsidR="00596BBF">
        <w:t xml:space="preserve">large debris removal </w:t>
      </w:r>
      <w:r w:rsidR="00300CB7">
        <w:t>is one of the lowest-ranked actions</w:t>
      </w:r>
      <w:r w:rsidR="00DE01C8">
        <w:t>.</w:t>
      </w:r>
    </w:p>
    <w:p w14:paraId="781A129A" w14:textId="3BA68371" w:rsidR="00D04BE5" w:rsidRPr="00793F5B" w:rsidRDefault="00DE01C8" w:rsidP="00581647">
      <w:pPr>
        <w:ind w:firstLine="360"/>
      </w:pPr>
      <w:r>
        <w:lastRenderedPageBreak/>
        <w:t xml:space="preserve">The Phase 2 report identified significant benefits from rapid deorbiting of </w:t>
      </w:r>
      <w:r w:rsidR="00316FF7">
        <w:t xml:space="preserve">large objects at the end of their missions. We reaffirm this finding, though </w:t>
      </w:r>
      <w:r w:rsidR="00325AF5">
        <w:t xml:space="preserve">given our focus on NPV rather than a benefit-cost ratio we find that 0-year PMD strictly dominates 5-year PMD under both models (both at </w:t>
      </w:r>
      <w:r w:rsidR="008C7E4E">
        <w:t xml:space="preserve">roughly 70% overall adoption, since only 78% of spacecraft are assumed to </w:t>
      </w:r>
      <w:r w:rsidR="00DC4E34">
        <w:t xml:space="preserve">comply and only </w:t>
      </w:r>
      <w:r w:rsidR="008C7E4E">
        <w:t xml:space="preserve">90% </w:t>
      </w:r>
      <w:r w:rsidR="00DC4E34">
        <w:t>of attempted disposals are assumed to succeed)</w:t>
      </w:r>
      <w:r w:rsidR="00325AF5">
        <w:t>. Since 25-year PMD</w:t>
      </w:r>
      <w:r w:rsidR="00B6403D">
        <w:t xml:space="preserve"> </w:t>
      </w:r>
      <w:r w:rsidR="00DC4E34">
        <w:t xml:space="preserve">is incorporated in the baseline, the NPVs of all actions are </w:t>
      </w:r>
      <w:r w:rsidR="00173935">
        <w:t>incremental to doing 25-year PMD.</w:t>
      </w:r>
    </w:p>
    <w:p w14:paraId="6CF1F13B" w14:textId="328544D9" w:rsidR="00657586" w:rsidRDefault="00BB5C3A" w:rsidP="00AB6B4D">
      <w:pPr>
        <w:pStyle w:val="Heading2"/>
      </w:pPr>
      <w:bookmarkStart w:id="15" w:name="_Toc192166303"/>
      <w:r>
        <w:t>Interactions from combining two actions</w:t>
      </w:r>
      <w:bookmarkEnd w:id="15"/>
    </w:p>
    <w:p w14:paraId="6177831F" w14:textId="048942C2" w:rsidR="00094990" w:rsidRDefault="001C78B4" w:rsidP="00657586">
      <w:r>
        <w:t xml:space="preserve">One of the major differences between considering actions in isolation and actions as part of a portfolio is the ability to identify the interactions between different actions. For instance, </w:t>
      </w:r>
      <w:r w:rsidR="002A3645">
        <w:t xml:space="preserve">investing in both </w:t>
      </w:r>
      <w:r w:rsidR="00F31CC2">
        <w:t xml:space="preserve">shielding against millimeter debris and using dust to remove millimeter debris would seem to be </w:t>
      </w:r>
      <w:r w:rsidR="002A3645">
        <w:t>counterproductive</w:t>
      </w:r>
      <w:r w:rsidR="00E81533">
        <w:t>.</w:t>
      </w:r>
      <w:r w:rsidR="002A3645">
        <w:t xml:space="preserve"> If you’ve removed the source of the risk, why protect against it? Conversely, if you’re protected against the risk, why spend scarce dollars on removing it?</w:t>
      </w:r>
      <w:r w:rsidR="00814EB5">
        <w:t xml:space="preserve"> Such interactions are a critical aspect in assessing portfolios of actions.</w:t>
      </w:r>
      <w:r w:rsidR="00F53DD4">
        <w:rPr>
          <w:rStyle w:val="FootnoteReference"/>
        </w:rPr>
        <w:footnoteReference w:id="7"/>
      </w:r>
    </w:p>
    <w:p w14:paraId="61E91F4A" w14:textId="77777777" w:rsidR="00814EB5" w:rsidRDefault="00E81533" w:rsidP="00581647">
      <w:pPr>
        <w:ind w:firstLine="360"/>
      </w:pPr>
      <w:r>
        <w:t xml:space="preserve">Qualitatively, there are two types of interactions to consider in assembling a space sustainability portfolio. </w:t>
      </w:r>
      <w:r>
        <w:rPr>
          <w:i/>
          <w:iCs/>
        </w:rPr>
        <w:t>Substitution</w:t>
      </w:r>
      <w:r>
        <w:t xml:space="preserve"> occurs when two </w:t>
      </w:r>
      <w:r w:rsidR="00F16937">
        <w:t xml:space="preserve">or more </w:t>
      </w:r>
      <w:r>
        <w:t xml:space="preserve">actions </w:t>
      </w:r>
      <w:r w:rsidR="00F16937">
        <w:t>address the same</w:t>
      </w:r>
      <w:r>
        <w:t xml:space="preserve"> sources of risk</w:t>
      </w:r>
      <w:r w:rsidR="00C50885">
        <w:t xml:space="preserve"> such that</w:t>
      </w:r>
      <w:r w:rsidR="00F16937">
        <w:t xml:space="preserve"> the</w:t>
      </w:r>
      <w:r w:rsidR="005B0273">
        <w:t>ir</w:t>
      </w:r>
      <w:r w:rsidR="00F16937">
        <w:t xml:space="preserve"> combined effect </w:t>
      </w:r>
      <w:r w:rsidR="00C50885">
        <w:t xml:space="preserve">is </w:t>
      </w:r>
      <w:r w:rsidR="00F16937">
        <w:t>less than the sum of their individual parts.</w:t>
      </w:r>
      <w:r w:rsidR="001D5813">
        <w:t xml:space="preserve"> For example, </w:t>
      </w:r>
      <w:r w:rsidR="00DF335A">
        <w:t>grabbing and removing large</w:t>
      </w:r>
      <w:r w:rsidR="001D5813">
        <w:t xml:space="preserve"> debris and </w:t>
      </w:r>
      <w:r w:rsidR="00DF335A">
        <w:t>nudging large debris away from collisions</w:t>
      </w:r>
      <w:r w:rsidR="001D5813">
        <w:t xml:space="preserve"> might be expected to </w:t>
      </w:r>
      <w:r w:rsidR="005A0EE5">
        <w:t>be substitutes.</w:t>
      </w:r>
      <w:r w:rsidR="00F16937">
        <w:t xml:space="preserve"> </w:t>
      </w:r>
      <w:r w:rsidR="00F16937">
        <w:rPr>
          <w:i/>
          <w:iCs/>
        </w:rPr>
        <w:t>Complementarity</w:t>
      </w:r>
      <w:r w:rsidR="00F16937">
        <w:t xml:space="preserve"> occurs when two or more </w:t>
      </w:r>
      <w:r w:rsidR="005A0EE5">
        <w:t>actions address different sources of risk</w:t>
      </w:r>
      <w:r w:rsidR="00C50885">
        <w:t xml:space="preserve"> such that the</w:t>
      </w:r>
      <w:r w:rsidR="005B0273">
        <w:t>ir</w:t>
      </w:r>
      <w:r w:rsidR="00C50885">
        <w:t xml:space="preserve"> combined effect is greater than the sum of their parts.</w:t>
      </w:r>
      <w:r w:rsidR="005B0273">
        <w:t xml:space="preserve"> For </w:t>
      </w:r>
      <w:r w:rsidR="00DA505A">
        <w:t>example</w:t>
      </w:r>
      <w:r w:rsidR="005B0273">
        <w:t xml:space="preserve">, </w:t>
      </w:r>
      <w:r w:rsidR="00510779">
        <w:t xml:space="preserve">nudging large debris away from collisions </w:t>
      </w:r>
      <w:r w:rsidR="00640BF3">
        <w:t xml:space="preserve">and removing cm size debris </w:t>
      </w:r>
      <w:r w:rsidR="00510779">
        <w:t xml:space="preserve">might be expected to </w:t>
      </w:r>
      <w:r w:rsidR="00640BF3">
        <w:t>be complements</w:t>
      </w:r>
      <w:r w:rsidR="006A2781">
        <w:t xml:space="preserve">. </w:t>
      </w:r>
      <w:r w:rsidR="00703185">
        <w:t>The nature and magnitude of interactions between actions will depend on their characteristics as well as the details of the encounter model.</w:t>
      </w:r>
    </w:p>
    <w:p w14:paraId="1B74FF28" w14:textId="2EFBF105" w:rsidR="00E81533" w:rsidRDefault="006A2781" w:rsidP="00581647">
      <w:pPr>
        <w:ind w:firstLine="360"/>
      </w:pPr>
      <w:r>
        <w:t xml:space="preserve">Figure </w:t>
      </w:r>
      <w:r w:rsidR="00BC62B9">
        <w:t>5</w:t>
      </w:r>
      <w:r w:rsidR="00DA505A">
        <w:t xml:space="preserve"> below illustrate</w:t>
      </w:r>
      <w:r w:rsidR="00C02971">
        <w:t>s example</w:t>
      </w:r>
      <w:r w:rsidR="009F693A">
        <w:t>s</w:t>
      </w:r>
      <w:r w:rsidR="00DA4BAF">
        <w:t xml:space="preserve"> </w:t>
      </w:r>
      <w:r w:rsidR="009F693A">
        <w:t xml:space="preserve">with different degrees of substitution under </w:t>
      </w:r>
      <w:r w:rsidR="00814EB5">
        <w:t>M</w:t>
      </w:r>
      <w:r w:rsidR="009F693A">
        <w:t>odel 1.</w:t>
      </w:r>
      <w:r w:rsidR="00814EB5">
        <w:t xml:space="preserve"> Three actions are used: </w:t>
      </w:r>
      <w:r w:rsidR="002763CC">
        <w:t xml:space="preserve">5-year PMD, ADR, and Laser JCA. </w:t>
      </w:r>
      <w:r w:rsidR="00C70DB2">
        <w:t>Since 5-year PMD and ADR address different sources of risk – the former targets</w:t>
      </w:r>
      <w:r w:rsidR="0096687D">
        <w:t xml:space="preserve"> now and future active spacecraft at the end of their missions, the latter targets legacy derelict spacecraft – one might expect them to have largely independent effects. </w:t>
      </w:r>
      <w:r w:rsidR="00E058E7">
        <w:t>T</w:t>
      </w:r>
      <w:r w:rsidR="00573C33">
        <w:t>his intuition is supported in the analysis</w:t>
      </w:r>
      <w:r w:rsidR="00E058E7">
        <w:t xml:space="preserve">, as the NPV of the portfolio containing </w:t>
      </w:r>
      <w:r w:rsidR="00D24F7F">
        <w:t>only those</w:t>
      </w:r>
      <w:r w:rsidR="00E058E7">
        <w:t xml:space="preserve"> actions is </w:t>
      </w:r>
      <w:r w:rsidR="00D24F7F">
        <w:t>virtually identical to the sum of the NPVs of the actions individually</w:t>
      </w:r>
      <w:r w:rsidR="00573C33">
        <w:t xml:space="preserve">. On the other hand, one might expect Laser JCA and ADR to </w:t>
      </w:r>
      <w:r w:rsidR="008F2C1B">
        <w:t xml:space="preserve">have some interactions, since both address risk from overlapping populations of derelict spacecraft. </w:t>
      </w:r>
      <w:r w:rsidR="00E058E7">
        <w:t xml:space="preserve">This </w:t>
      </w:r>
      <w:r w:rsidR="00E058E7">
        <w:lastRenderedPageBreak/>
        <w:t xml:space="preserve">intuition is </w:t>
      </w:r>
      <w:r w:rsidR="00D24F7F">
        <w:t>also supported in the analysis, as the NPV of the portfolio containing only those actions is less than the sum of the NPVs of the actions individually.</w:t>
      </w:r>
    </w:p>
    <w:p w14:paraId="45389C96" w14:textId="77777777" w:rsidR="00573C33" w:rsidRPr="00E81533" w:rsidRDefault="00573C33" w:rsidP="0074759F"/>
    <w:p w14:paraId="6E1A3529" w14:textId="2BF75A4B" w:rsidR="00DA5625" w:rsidRDefault="244DE451" w:rsidP="00DA5625">
      <w:pPr>
        <w:keepNext/>
      </w:pPr>
      <w:r>
        <w:rPr>
          <w:noProof/>
        </w:rPr>
        <w:drawing>
          <wp:inline distT="0" distB="0" distL="0" distR="0" wp14:anchorId="41B7DF4E" wp14:editId="13CFA154">
            <wp:extent cx="5943600" cy="3606800"/>
            <wp:effectExtent l="0" t="0" r="0" b="0"/>
            <wp:docPr id="1946405091" name="Picture 194640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6800"/>
                    </a:xfrm>
                    <a:prstGeom prst="rect">
                      <a:avLst/>
                    </a:prstGeom>
                  </pic:spPr>
                </pic:pic>
              </a:graphicData>
            </a:graphic>
          </wp:inline>
        </w:drawing>
      </w:r>
    </w:p>
    <w:p w14:paraId="06E3E71C" w14:textId="2AFC6B18" w:rsidR="001C78B4" w:rsidRDefault="00DA5625" w:rsidP="00BC62B9">
      <w:pPr>
        <w:pStyle w:val="Caption"/>
      </w:pPr>
      <w:r>
        <w:t xml:space="preserve">Figure </w:t>
      </w:r>
      <w:r>
        <w:fldChar w:fldCharType="begin"/>
      </w:r>
      <w:r>
        <w:instrText xml:space="preserve"> SEQ Figure \* ARABIC </w:instrText>
      </w:r>
      <w:r>
        <w:fldChar w:fldCharType="separate"/>
      </w:r>
      <w:r w:rsidR="001F0D0C">
        <w:rPr>
          <w:noProof/>
        </w:rPr>
        <w:t>5</w:t>
      </w:r>
      <w:r>
        <w:rPr>
          <w:noProof/>
        </w:rPr>
        <w:fldChar w:fldCharType="end"/>
      </w:r>
      <w:r>
        <w:t>: Examples of different degrees of substitution between actions that may be combined in a portfolio.</w:t>
      </w:r>
    </w:p>
    <w:p w14:paraId="2638261B" w14:textId="4C5FA1AB" w:rsidR="00657586" w:rsidRDefault="001C78B4" w:rsidP="00581647">
      <w:pPr>
        <w:ind w:firstLine="360"/>
      </w:pPr>
      <w:r w:rsidRPr="00241095">
        <w:rPr>
          <w:color w:val="000000" w:themeColor="text1"/>
        </w:rPr>
        <w:t xml:space="preserve">Figure </w:t>
      </w:r>
      <w:r w:rsidR="00241095" w:rsidRPr="00241095">
        <w:rPr>
          <w:color w:val="000000" w:themeColor="text1"/>
        </w:rPr>
        <w:t>6</w:t>
      </w:r>
      <w:r w:rsidRPr="00241095">
        <w:rPr>
          <w:color w:val="000000" w:themeColor="text1"/>
        </w:rPr>
        <w:t xml:space="preserve"> displays </w:t>
      </w:r>
      <w:r>
        <w:t xml:space="preserve">pairwise interactions between </w:t>
      </w:r>
      <w:r w:rsidR="006C1923">
        <w:t xml:space="preserve">all </w:t>
      </w:r>
      <w:r>
        <w:t>actions</w:t>
      </w:r>
      <w:r w:rsidR="006C1923">
        <w:t xml:space="preserve"> in a heatmap. The strength of the interactions is</w:t>
      </w:r>
      <w:r>
        <w:t xml:space="preserve"> expressed as </w:t>
      </w:r>
      <w:r w:rsidR="00111162">
        <w:t xml:space="preserve">the ratio of the value of the portfolio to the </w:t>
      </w:r>
      <w:r w:rsidR="003F4873">
        <w:t>sum of the values of each action separately</w:t>
      </w:r>
      <w:r>
        <w:t>.</w:t>
      </w:r>
      <w:r w:rsidR="0031298D">
        <w:t xml:space="preserve"> </w:t>
      </w:r>
      <w:r w:rsidR="003F4873">
        <w:t>For example,</w:t>
      </w:r>
      <w:r w:rsidR="006C1923">
        <w:t xml:space="preserve"> </w:t>
      </w:r>
      <w:r w:rsidR="00D77EF6">
        <w:t>a value of 100%</w:t>
      </w:r>
      <w:r w:rsidR="00535E61">
        <w:t xml:space="preserve"> (e.g., between </w:t>
      </w:r>
      <w:r w:rsidR="00AA6BC1">
        <w:t>Small debris removal (laser) and Laser ranging under both models)</w:t>
      </w:r>
      <w:r w:rsidR="00D77EF6">
        <w:t xml:space="preserve"> means the NPV of the portfolio containing </w:t>
      </w:r>
      <w:r w:rsidR="00626A49">
        <w:t xml:space="preserve">those </w:t>
      </w:r>
      <w:r w:rsidR="00D77EF6">
        <w:t>two actions is equal to 100% of the sum of their NPVs individually</w:t>
      </w:r>
      <w:r w:rsidR="00F51A6E">
        <w:t xml:space="preserve"> – these actions are independent</w:t>
      </w:r>
      <w:r w:rsidR="00D77EF6">
        <w:t xml:space="preserve">. A value of </w:t>
      </w:r>
      <w:r w:rsidR="00AA6BC1">
        <w:t xml:space="preserve">67% (e.g., between Small </w:t>
      </w:r>
      <w:r w:rsidR="00626A49">
        <w:t xml:space="preserve">debris removal (laser) and Laser ranging and 2 new Space Fences under Model 2) means the NPV of the portfolio containing those two actions is equal to 67% of the sum of their NPVs individually – these actions are substitutes. </w:t>
      </w:r>
      <w:r w:rsidR="00A643CB">
        <w:t xml:space="preserve">A value of 111% (e.g., between Small debris removal (dust) and PMD 0-year under Model 1) </w:t>
      </w:r>
      <w:r w:rsidR="00626D97">
        <w:t>means the NPV of the portfolio containing those two actions is equal to 111% of the sum of their NPVs individually – those actions are complements.</w:t>
      </w:r>
    </w:p>
    <w:p w14:paraId="66319AF6" w14:textId="77777777" w:rsidR="00BD720E" w:rsidRDefault="00521CEE" w:rsidP="00BD720E">
      <w:pPr>
        <w:keepNext/>
      </w:pPr>
      <w:r>
        <w:rPr>
          <w:noProof/>
        </w:rPr>
        <w:lastRenderedPageBreak/>
        <w:drawing>
          <wp:inline distT="0" distB="0" distL="0" distR="0" wp14:anchorId="2E803D0F" wp14:editId="191C25F2">
            <wp:extent cx="5143500" cy="7696200"/>
            <wp:effectExtent l="0" t="0" r="0" b="0"/>
            <wp:docPr id="1856955818" name="Picture 185695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55818" name="Picture 18569558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3500" cy="7696200"/>
                    </a:xfrm>
                    <a:prstGeom prst="rect">
                      <a:avLst/>
                    </a:prstGeom>
                  </pic:spPr>
                </pic:pic>
              </a:graphicData>
            </a:graphic>
          </wp:inline>
        </w:drawing>
      </w:r>
    </w:p>
    <w:p w14:paraId="2CE4CA29" w14:textId="0DFBD734" w:rsidR="00521CEE" w:rsidRDefault="00BD720E" w:rsidP="00BD720E">
      <w:pPr>
        <w:pStyle w:val="Caption"/>
      </w:pPr>
      <w:r>
        <w:t xml:space="preserve">Figure </w:t>
      </w:r>
      <w:r>
        <w:fldChar w:fldCharType="begin"/>
      </w:r>
      <w:r>
        <w:instrText xml:space="preserve"> SEQ Figure \* ARABIC </w:instrText>
      </w:r>
      <w:r>
        <w:fldChar w:fldCharType="separate"/>
      </w:r>
      <w:r w:rsidR="001F0D0C">
        <w:rPr>
          <w:noProof/>
        </w:rPr>
        <w:t>6</w:t>
      </w:r>
      <w:r>
        <w:rPr>
          <w:noProof/>
        </w:rPr>
        <w:fldChar w:fldCharType="end"/>
      </w:r>
      <w:r>
        <w:t>:</w:t>
      </w:r>
      <w:r w:rsidR="00BC62B9">
        <w:t xml:space="preserve"> Pairwise interactions between all combinations of actions</w:t>
      </w:r>
      <w:r w:rsidR="00241095">
        <w:t xml:space="preserve"> analyzed. Blue indicates complementarity, orange indicates substitution, yellow indicates independence (no interaction).</w:t>
      </w:r>
    </w:p>
    <w:p w14:paraId="4BCB7B67" w14:textId="0B9773C8" w:rsidR="00657586" w:rsidRDefault="001D0E75" w:rsidP="00AB6B4D">
      <w:pPr>
        <w:pStyle w:val="Heading2"/>
      </w:pPr>
      <w:bookmarkStart w:id="16" w:name="_Toc192166304"/>
      <w:r>
        <w:lastRenderedPageBreak/>
        <w:t>Efficient</w:t>
      </w:r>
      <w:r w:rsidR="001F1194">
        <w:t xml:space="preserve"> </w:t>
      </w:r>
      <w:r w:rsidR="000031B9">
        <w:t xml:space="preserve">space sustainability </w:t>
      </w:r>
      <w:r w:rsidR="00AB6B4D">
        <w:t>portfolios</w:t>
      </w:r>
      <w:bookmarkEnd w:id="16"/>
    </w:p>
    <w:p w14:paraId="15D895C1" w14:textId="666D7C26" w:rsidR="003F2BFC" w:rsidRDefault="0031298D" w:rsidP="002223B4">
      <w:r>
        <w:t xml:space="preserve">Having analyzed individual actions and the </w:t>
      </w:r>
      <w:r w:rsidR="003F2BFC">
        <w:t>set of pairwise interactions between actions, we now move on to analysis of portfolios of sustainability actions.</w:t>
      </w:r>
      <w:r w:rsidR="00CB3E4E">
        <w:t xml:space="preserve"> We use our simulation framework </w:t>
      </w:r>
      <w:r w:rsidR="001B6016">
        <w:t xml:space="preserve">to identify </w:t>
      </w:r>
      <w:r w:rsidR="005B1B57">
        <w:t xml:space="preserve">a large set of portfolios and </w:t>
      </w:r>
      <w:r w:rsidR="009572AB">
        <w:t>calculate the portfolio with the largest NPV among that set under each model. These are the “</w:t>
      </w:r>
      <w:r w:rsidR="001D0E75">
        <w:t>efficient</w:t>
      </w:r>
      <w:r w:rsidR="009572AB">
        <w:t xml:space="preserve">” portfolios for those models. Since we do not impose any constraints on specific actions </w:t>
      </w:r>
      <w:r w:rsidR="00AB49F2">
        <w:t>they must contain</w:t>
      </w:r>
      <w:r w:rsidR="009572AB">
        <w:t>, we refer to these</w:t>
      </w:r>
      <w:r w:rsidR="00CB3E4E">
        <w:t xml:space="preserve"> </w:t>
      </w:r>
      <w:r w:rsidR="009572AB">
        <w:t xml:space="preserve">as the “unconstrained” </w:t>
      </w:r>
      <w:r w:rsidR="001D0E75">
        <w:t>efficient</w:t>
      </w:r>
      <w:r w:rsidR="009572AB">
        <w:t xml:space="preserve"> portfolios.</w:t>
      </w:r>
      <w:r w:rsidR="00DE3874">
        <w:t xml:space="preserve"> Recall that in our baseline case, presented here, we hold all TTVs at 10 years</w:t>
      </w:r>
      <w:r w:rsidR="00DE3874" w:rsidRPr="00241095">
        <w:rPr>
          <w:color w:val="000000" w:themeColor="text1"/>
        </w:rPr>
        <w:t>.</w:t>
      </w:r>
      <w:r w:rsidR="00626D97" w:rsidRPr="00241095">
        <w:rPr>
          <w:color w:val="000000" w:themeColor="text1"/>
        </w:rPr>
        <w:t xml:space="preserve"> </w:t>
      </w:r>
      <w:r w:rsidR="00BF32E0" w:rsidRPr="00241095">
        <w:rPr>
          <w:color w:val="000000" w:themeColor="text1"/>
        </w:rPr>
        <w:t xml:space="preserve">Table </w:t>
      </w:r>
      <w:r w:rsidR="00241095" w:rsidRPr="00241095">
        <w:rPr>
          <w:color w:val="000000" w:themeColor="text1"/>
        </w:rPr>
        <w:t>5</w:t>
      </w:r>
      <w:r w:rsidR="00BF32E0" w:rsidRPr="00241095">
        <w:rPr>
          <w:color w:val="000000" w:themeColor="text1"/>
        </w:rPr>
        <w:t xml:space="preserve"> lists</w:t>
      </w:r>
      <w:r w:rsidR="00F915FD" w:rsidRPr="00241095">
        <w:rPr>
          <w:color w:val="000000" w:themeColor="text1"/>
        </w:rPr>
        <w:t xml:space="preserve"> </w:t>
      </w:r>
      <w:r w:rsidR="00F915FD">
        <w:t xml:space="preserve">the </w:t>
      </w:r>
      <w:r w:rsidR="009572AB">
        <w:t xml:space="preserve">unconstrained </w:t>
      </w:r>
      <w:r w:rsidR="001D0E75">
        <w:t>efficient</w:t>
      </w:r>
      <w:r w:rsidR="00F915FD">
        <w:t xml:space="preserve"> portfolios</w:t>
      </w:r>
      <w:r w:rsidR="003B71C2">
        <w:t xml:space="preserve"> along with the recommended priority of each action</w:t>
      </w:r>
      <w:r w:rsidR="00F915FD">
        <w:t>.</w:t>
      </w:r>
      <w:r w:rsidR="007678E1">
        <w:t xml:space="preserve"> The ranking is a prioritization, not a temporal sequencing: it does not say the rank 2 action should be pursued only after the rank 1 action. Instead, it says if you had to pick only 1 action to do it should be the rank 1 action; if you had to pick only 3 actions to do, it should be the actions ranked 1, 2, and 3</w:t>
      </w:r>
      <w:r w:rsidR="002223B4">
        <w:t>. W</w:t>
      </w:r>
      <w:r w:rsidR="00C17AFB">
        <w:t xml:space="preserve">e round all values </w:t>
      </w:r>
      <w:r w:rsidR="00BD3650">
        <w:t xml:space="preserve">up </w:t>
      </w:r>
      <w:r w:rsidR="00C17AFB">
        <w:t>to the nearest 10 million dollars.</w:t>
      </w:r>
    </w:p>
    <w:p w14:paraId="32D6614B" w14:textId="79C39B8B" w:rsidR="00B6093F" w:rsidRDefault="00773428" w:rsidP="00581647">
      <w:pPr>
        <w:ind w:firstLine="360"/>
      </w:pPr>
      <w:r>
        <w:t>While</w:t>
      </w:r>
      <w:r w:rsidR="007E518D" w:rsidRPr="00690E36">
        <w:t xml:space="preserve"> both </w:t>
      </w:r>
      <w:r w:rsidR="00905222">
        <w:t>models</w:t>
      </w:r>
      <w:r w:rsidR="007E518D" w:rsidRPr="00690E36">
        <w:t xml:space="preserve"> identify the same </w:t>
      </w:r>
      <w:r w:rsidR="00905222">
        <w:t>portfolios</w:t>
      </w:r>
      <w:r w:rsidR="00690E36" w:rsidRPr="00690E36">
        <w:t xml:space="preserve"> as </w:t>
      </w:r>
      <w:r w:rsidR="00B608A7">
        <w:t>efficient</w:t>
      </w:r>
      <w:r w:rsidR="007E518D" w:rsidRPr="00690E36">
        <w:t xml:space="preserve"> – and, consequently, the budgets required are </w:t>
      </w:r>
      <w:r w:rsidR="00690E36" w:rsidRPr="00690E36">
        <w:t>identical</w:t>
      </w:r>
      <w:r w:rsidR="007E518D" w:rsidRPr="00690E36">
        <w:t xml:space="preserve"> – </w:t>
      </w:r>
      <w:r w:rsidR="007E518D">
        <w:t xml:space="preserve">the estimated NPV of the </w:t>
      </w:r>
      <w:r w:rsidR="00B608A7">
        <w:t>efficient</w:t>
      </w:r>
      <w:r w:rsidR="007E518D">
        <w:t xml:space="preserve"> space sustainability portfolio differs</w:t>
      </w:r>
      <w:r w:rsidR="00F9317B">
        <w:t xml:space="preserve"> across models </w:t>
      </w:r>
      <w:r w:rsidR="007E518D">
        <w:t xml:space="preserve">by an order of magnitude. This is likely </w:t>
      </w:r>
      <w:r w:rsidR="00A103B5">
        <w:t>mainly</w:t>
      </w:r>
      <w:r w:rsidR="007E518D">
        <w:t xml:space="preserve"> </w:t>
      </w:r>
      <w:r w:rsidR="00736C20">
        <w:t xml:space="preserve">due to </w:t>
      </w:r>
      <w:r w:rsidR="007E518D">
        <w:t xml:space="preserve">differences in the underlying flux </w:t>
      </w:r>
      <w:r w:rsidR="00736C20">
        <w:t>sub</w:t>
      </w:r>
      <w:r w:rsidR="007E518D">
        <w:t xml:space="preserve">models. Model 1 </w:t>
      </w:r>
      <w:r w:rsidR="00736C20">
        <w:t>is based on</w:t>
      </w:r>
      <w:r w:rsidR="007E518D">
        <w:t xml:space="preserve"> ORDEM, which predicts much higher small debris fluxes than MASTER, </w:t>
      </w:r>
      <w:r w:rsidR="00736C20">
        <w:t>which Model 2 is based on</w:t>
      </w:r>
      <w:r w:rsidR="007E518D">
        <w:t>.</w:t>
      </w:r>
      <w:r w:rsidR="007F2077">
        <w:t xml:space="preserve"> </w:t>
      </w:r>
      <w:r w:rsidR="00B67477">
        <w:t xml:space="preserve">This results in </w:t>
      </w:r>
      <w:r w:rsidR="00736C20">
        <w:t>M</w:t>
      </w:r>
      <w:r w:rsidR="00B67477">
        <w:t>odel 1 predicting</w:t>
      </w:r>
      <w:r w:rsidR="00B6093F">
        <w:t xml:space="preserve"> greater damages </w:t>
      </w:r>
      <w:r w:rsidR="00F155B4">
        <w:t>if</w:t>
      </w:r>
      <w:r w:rsidR="00B6093F">
        <w:t xml:space="preserve"> no risk is </w:t>
      </w:r>
      <w:r w:rsidR="00B67477">
        <w:t>addressed and consequently greater benefits from addressing risk</w:t>
      </w:r>
      <w:r w:rsidR="00B6093F">
        <w:t>.</w:t>
      </w:r>
    </w:p>
    <w:p w14:paraId="79FE2D90" w14:textId="262C6D59" w:rsidR="000B268E" w:rsidRDefault="00E87719" w:rsidP="00581647">
      <w:pPr>
        <w:ind w:firstLine="360"/>
      </w:pPr>
      <w:r>
        <w:t xml:space="preserve">The </w:t>
      </w:r>
      <w:r w:rsidR="00B608A7">
        <w:t>efficient</w:t>
      </w:r>
      <w:r>
        <w:t xml:space="preserve"> portfolios do not simply include the </w:t>
      </w:r>
      <w:r w:rsidR="00DB0F5C">
        <w:t>highest-NPV</w:t>
      </w:r>
      <w:r>
        <w:t xml:space="preserve"> single actions</w:t>
      </w:r>
      <w:r w:rsidR="00DB0F5C">
        <w:t xml:space="preserve">, and do not even rank those actions by their NPVs when conducted in isolation. </w:t>
      </w:r>
      <w:r w:rsidR="00185F08">
        <w:t xml:space="preserve">For example, </w:t>
      </w:r>
      <w:r w:rsidR="00217EDB">
        <w:t>under both models substitution effects are identified</w:t>
      </w:r>
      <w:r w:rsidR="00185F08">
        <w:t xml:space="preserve"> between </w:t>
      </w:r>
      <w:r w:rsidR="00F155B4">
        <w:t>“Dust mm</w:t>
      </w:r>
      <w:r w:rsidR="00185F08">
        <w:t xml:space="preserve"> debris removal</w:t>
      </w:r>
      <w:r w:rsidR="00F155B4">
        <w:t>”</w:t>
      </w:r>
      <w:r w:rsidR="00185F08">
        <w:t xml:space="preserve"> and </w:t>
      </w:r>
      <w:r w:rsidR="00F155B4">
        <w:t>“</w:t>
      </w:r>
      <w:r w:rsidR="00217EDB">
        <w:t>Shielding 5mm</w:t>
      </w:r>
      <w:r w:rsidR="00F155B4">
        <w:t>” and o</w:t>
      </w:r>
      <w:r w:rsidR="00BA7837">
        <w:t xml:space="preserve">nly the latter is included in the </w:t>
      </w:r>
      <w:r w:rsidR="00B608A7">
        <w:t>efficient</w:t>
      </w:r>
      <w:r w:rsidR="00BA7837">
        <w:t xml:space="preserve"> portfolios.</w:t>
      </w:r>
      <w:r w:rsidR="00A4493D">
        <w:t xml:space="preserve"> U</w:t>
      </w:r>
      <w:r w:rsidR="003626C4">
        <w:t>nder Model 1</w:t>
      </w:r>
      <w:r w:rsidR="00F155B4">
        <w:t>,</w:t>
      </w:r>
      <w:r w:rsidR="003626C4">
        <w:t xml:space="preserve"> </w:t>
      </w:r>
      <w:r w:rsidR="00F155B4">
        <w:t>“Laser cm debris removal”</w:t>
      </w:r>
      <w:r w:rsidR="00821E14">
        <w:t xml:space="preserve"> is ranked 4 in terms of individual </w:t>
      </w:r>
      <w:r w:rsidR="00A4493D">
        <w:t>NPV</w:t>
      </w:r>
      <w:r w:rsidR="00821E14">
        <w:t xml:space="preserve"> (ahead of </w:t>
      </w:r>
      <w:r w:rsidR="00F155B4">
        <w:t>“</w:t>
      </w:r>
      <w:r w:rsidR="00821E14">
        <w:t>Laser JCA</w:t>
      </w:r>
      <w:r w:rsidR="00F155B4">
        <w:t>”</w:t>
      </w:r>
      <w:r w:rsidR="00821E14">
        <w:t xml:space="preserve">) but </w:t>
      </w:r>
      <w:r w:rsidR="00A4493D">
        <w:t>ranked 6 in terms of its contribution to the portfolio</w:t>
      </w:r>
      <w:r w:rsidR="00114CDB">
        <w:t>’s</w:t>
      </w:r>
      <w:r w:rsidR="00A4493D">
        <w:t xml:space="preserve"> NPV (behind </w:t>
      </w:r>
      <w:r w:rsidR="00F155B4">
        <w:t>“</w:t>
      </w:r>
      <w:r w:rsidR="00A4493D">
        <w:t>Laser JCA</w:t>
      </w:r>
      <w:r w:rsidR="00F155B4">
        <w:t>”</w:t>
      </w:r>
      <w:r w:rsidR="00A4493D">
        <w:t>). Similarly, under Model 2</w:t>
      </w:r>
      <w:r w:rsidR="00114CDB">
        <w:t xml:space="preserve"> </w:t>
      </w:r>
      <w:r w:rsidR="00F155B4">
        <w:t>“</w:t>
      </w:r>
      <w:r w:rsidR="00114CDB">
        <w:t>Laser JCA</w:t>
      </w:r>
      <w:r w:rsidR="00F155B4">
        <w:t>”</w:t>
      </w:r>
      <w:r w:rsidR="00114CDB">
        <w:t xml:space="preserve"> is ranked behind </w:t>
      </w:r>
      <w:r w:rsidR="00F155B4">
        <w:t>“</w:t>
      </w:r>
      <w:r w:rsidR="00114CDB">
        <w:t>Passivation</w:t>
      </w:r>
      <w:r w:rsidR="00F155B4">
        <w:t>”</w:t>
      </w:r>
      <w:r w:rsidR="00114CDB">
        <w:t xml:space="preserve"> in terms of its individual benefits, but ahead of </w:t>
      </w:r>
      <w:r w:rsidR="00F155B4">
        <w:t>“</w:t>
      </w:r>
      <w:r w:rsidR="00114CDB">
        <w:t>Passivation</w:t>
      </w:r>
      <w:r w:rsidR="00F155B4">
        <w:t>”</w:t>
      </w:r>
      <w:r w:rsidR="00114CDB">
        <w:t xml:space="preserve"> in terms of its contribution to the portfolio’s NPV.</w:t>
      </w:r>
      <w:r w:rsidR="000B268E">
        <w:t xml:space="preserve"> </w:t>
      </w:r>
    </w:p>
    <w:p w14:paraId="66CDE521" w14:textId="350EDACB" w:rsidR="009572AB" w:rsidRDefault="0066730C" w:rsidP="00581647">
      <w:pPr>
        <w:ind w:firstLine="360"/>
      </w:pPr>
      <w:r>
        <w:rPr>
          <w:color w:val="000000" w:themeColor="text1"/>
        </w:rPr>
        <w:t>T</w:t>
      </w:r>
      <w:r w:rsidR="00A6243E">
        <w:rPr>
          <w:color w:val="000000" w:themeColor="text1"/>
        </w:rPr>
        <w:t xml:space="preserve">hat the </w:t>
      </w:r>
      <w:r w:rsidR="00B608A7">
        <w:rPr>
          <w:color w:val="000000" w:themeColor="text1"/>
        </w:rPr>
        <w:t>efficient</w:t>
      </w:r>
      <w:r w:rsidR="00A6243E">
        <w:rPr>
          <w:color w:val="000000" w:themeColor="text1"/>
        </w:rPr>
        <w:t xml:space="preserve"> portfolios do not contain all potential actions </w:t>
      </w:r>
      <w:r w:rsidR="00114CDB">
        <w:rPr>
          <w:color w:val="000000" w:themeColor="text1"/>
        </w:rPr>
        <w:t xml:space="preserve">combined with </w:t>
      </w:r>
      <w:r w:rsidR="00A6243E">
        <w:rPr>
          <w:color w:val="000000" w:themeColor="text1"/>
        </w:rPr>
        <w:t xml:space="preserve">the general prevalence of substitution effects in Figure </w:t>
      </w:r>
      <w:r w:rsidR="00725B16">
        <w:rPr>
          <w:color w:val="000000" w:themeColor="text1"/>
        </w:rPr>
        <w:t xml:space="preserve">6 </w:t>
      </w:r>
      <w:r>
        <w:rPr>
          <w:color w:val="000000" w:themeColor="text1"/>
        </w:rPr>
        <w:t xml:space="preserve">suggests that there are diminishing marginal returns to adding actions </w:t>
      </w:r>
      <w:r w:rsidR="00114CDB">
        <w:rPr>
          <w:color w:val="000000" w:themeColor="text1"/>
        </w:rPr>
        <w:t xml:space="preserve">(at least, </w:t>
      </w:r>
      <w:r>
        <w:rPr>
          <w:color w:val="000000" w:themeColor="text1"/>
        </w:rPr>
        <w:t xml:space="preserve">presuming actions are being chosen </w:t>
      </w:r>
      <w:r w:rsidR="00B608A7">
        <w:rPr>
          <w:color w:val="000000" w:themeColor="text1"/>
        </w:rPr>
        <w:t>efficient</w:t>
      </w:r>
      <w:r>
        <w:rPr>
          <w:color w:val="000000" w:themeColor="text1"/>
        </w:rPr>
        <w:t>ly</w:t>
      </w:r>
      <w:r w:rsidR="00114CDB">
        <w:rPr>
          <w:color w:val="000000" w:themeColor="text1"/>
        </w:rPr>
        <w:t>)</w:t>
      </w:r>
      <w:r>
        <w:rPr>
          <w:color w:val="000000" w:themeColor="text1"/>
        </w:rPr>
        <w:t>.</w:t>
      </w:r>
      <w:r w:rsidR="00A6243E">
        <w:rPr>
          <w:rStyle w:val="FootnoteReference"/>
          <w:color w:val="000000" w:themeColor="text1"/>
        </w:rPr>
        <w:footnoteReference w:id="8"/>
      </w:r>
      <w:r w:rsidR="00A6243E">
        <w:rPr>
          <w:color w:val="000000" w:themeColor="text1"/>
        </w:rPr>
        <w:t xml:space="preserve"> </w:t>
      </w:r>
      <w:r>
        <w:rPr>
          <w:color w:val="000000" w:themeColor="text1"/>
        </w:rPr>
        <w:t xml:space="preserve"> </w:t>
      </w:r>
      <w:r w:rsidR="00A47490" w:rsidRPr="00BB3269">
        <w:rPr>
          <w:color w:val="000000" w:themeColor="text1"/>
        </w:rPr>
        <w:t xml:space="preserve">To investigate how </w:t>
      </w:r>
      <w:r w:rsidR="00BB3269" w:rsidRPr="00BB3269">
        <w:rPr>
          <w:color w:val="000000" w:themeColor="text1"/>
        </w:rPr>
        <w:t xml:space="preserve">overall portfolio NPV scales with the number of actions, </w:t>
      </w:r>
      <w:r w:rsidR="00C9289A">
        <w:t>we plot</w:t>
      </w:r>
      <w:r w:rsidR="00985B54">
        <w:t xml:space="preserve"> the share of maximum NPV achieved by</w:t>
      </w:r>
      <w:r w:rsidR="008A1BC8">
        <w:t xml:space="preserve"> the best portfolio with a fixed </w:t>
      </w:r>
      <w:r w:rsidR="00985B54">
        <w:t>number of actions</w:t>
      </w:r>
      <w:r w:rsidR="00C9289A">
        <w:t xml:space="preserve"> in Figure </w:t>
      </w:r>
      <w:r w:rsidR="00241095">
        <w:t>7</w:t>
      </w:r>
      <w:r w:rsidR="001F2187">
        <w:t>.</w:t>
      </w:r>
      <w:r w:rsidR="00A40A7C">
        <w:t xml:space="preserve"> The </w:t>
      </w:r>
      <w:r w:rsidR="00A40A7C">
        <w:lastRenderedPageBreak/>
        <w:t>plot confirms the presence of diminishing and eventually negative marginal returns to adding actions.</w:t>
      </w:r>
    </w:p>
    <w:p w14:paraId="17233DD2" w14:textId="77777777" w:rsidR="00241095" w:rsidRDefault="00241095" w:rsidP="00FC62B5"/>
    <w:p w14:paraId="08D4E97A" w14:textId="19080ADD" w:rsidR="00A02E4B" w:rsidRDefault="00A02E4B" w:rsidP="00A02E4B">
      <w:pPr>
        <w:pStyle w:val="Caption"/>
        <w:keepNext/>
      </w:pPr>
      <w:r>
        <w:t xml:space="preserve">Table </w:t>
      </w:r>
      <w:r>
        <w:fldChar w:fldCharType="begin"/>
      </w:r>
      <w:r>
        <w:instrText xml:space="preserve"> SEQ Table \* ARABIC </w:instrText>
      </w:r>
      <w:r>
        <w:fldChar w:fldCharType="separate"/>
      </w:r>
      <w:r w:rsidR="001F0D0C">
        <w:rPr>
          <w:noProof/>
        </w:rPr>
        <w:t>5</w:t>
      </w:r>
      <w:r>
        <w:rPr>
          <w:noProof/>
        </w:rPr>
        <w:fldChar w:fldCharType="end"/>
      </w:r>
      <w:r>
        <w:t xml:space="preserve">: </w:t>
      </w:r>
      <w:r w:rsidR="00B608A7">
        <w:t xml:space="preserve">Efficient </w:t>
      </w:r>
      <w:r>
        <w:t>portfolios with no constraints on which actions are chosen</w:t>
      </w:r>
      <w:r w:rsidR="000940FA">
        <w:t>.</w:t>
      </w:r>
    </w:p>
    <w:tbl>
      <w:tblPr>
        <w:tblStyle w:val="TableGrid"/>
        <w:tblW w:w="0" w:type="auto"/>
        <w:tblInd w:w="-5" w:type="dxa"/>
        <w:tblLayout w:type="fixed"/>
        <w:tblLook w:val="04A0" w:firstRow="1" w:lastRow="0" w:firstColumn="1" w:lastColumn="0" w:noHBand="0" w:noVBand="1"/>
      </w:tblPr>
      <w:tblGrid>
        <w:gridCol w:w="1260"/>
        <w:gridCol w:w="3420"/>
        <w:gridCol w:w="1260"/>
        <w:gridCol w:w="3415"/>
      </w:tblGrid>
      <w:tr w:rsidR="00843EC1" w14:paraId="1BC3DBFA" w14:textId="77777777">
        <w:trPr>
          <w:trHeight w:val="598"/>
        </w:trPr>
        <w:tc>
          <w:tcPr>
            <w:tcW w:w="4680" w:type="dxa"/>
            <w:gridSpan w:val="2"/>
            <w:shd w:val="clear" w:color="auto" w:fill="E7E6E6" w:themeFill="background2"/>
            <w:vAlign w:val="center"/>
          </w:tcPr>
          <w:p w14:paraId="56576A52" w14:textId="77777777" w:rsidR="00843EC1" w:rsidRPr="002B4183" w:rsidRDefault="00843EC1">
            <w:pPr>
              <w:spacing w:before="192"/>
              <w:jc w:val="center"/>
              <w:rPr>
                <w:b/>
                <w:bCs/>
              </w:rPr>
            </w:pPr>
            <w:r w:rsidRPr="002B4183">
              <w:rPr>
                <w:b/>
                <w:bCs/>
              </w:rPr>
              <w:t>Model 1</w:t>
            </w:r>
          </w:p>
        </w:tc>
        <w:tc>
          <w:tcPr>
            <w:tcW w:w="4675" w:type="dxa"/>
            <w:gridSpan w:val="2"/>
            <w:shd w:val="clear" w:color="auto" w:fill="E7E6E6" w:themeFill="background2"/>
            <w:vAlign w:val="center"/>
          </w:tcPr>
          <w:p w14:paraId="7296BC54" w14:textId="77777777" w:rsidR="00843EC1" w:rsidRPr="002B4183" w:rsidRDefault="00843EC1">
            <w:pPr>
              <w:spacing w:before="192"/>
              <w:jc w:val="center"/>
              <w:rPr>
                <w:b/>
                <w:bCs/>
              </w:rPr>
            </w:pPr>
            <w:r w:rsidRPr="002B4183">
              <w:rPr>
                <w:b/>
                <w:bCs/>
              </w:rPr>
              <w:t xml:space="preserve">Model </w:t>
            </w:r>
            <w:r>
              <w:rPr>
                <w:b/>
                <w:bCs/>
              </w:rPr>
              <w:t>2</w:t>
            </w:r>
          </w:p>
        </w:tc>
      </w:tr>
      <w:tr w:rsidR="00843EC1" w14:paraId="37981E53" w14:textId="77777777">
        <w:trPr>
          <w:trHeight w:val="520"/>
        </w:trPr>
        <w:tc>
          <w:tcPr>
            <w:tcW w:w="1260" w:type="dxa"/>
            <w:shd w:val="clear" w:color="auto" w:fill="E7E6E6" w:themeFill="background2"/>
            <w:vAlign w:val="center"/>
          </w:tcPr>
          <w:p w14:paraId="43DACA3B" w14:textId="2BD145DF" w:rsidR="00843EC1" w:rsidRPr="00C76985" w:rsidRDefault="00725B16">
            <w:pPr>
              <w:jc w:val="center"/>
              <w:rPr>
                <w:b/>
                <w:bCs/>
                <w:szCs w:val="23"/>
              </w:rPr>
            </w:pPr>
            <w:r>
              <w:rPr>
                <w:b/>
                <w:bCs/>
                <w:szCs w:val="23"/>
              </w:rPr>
              <w:t>Ranking of</w:t>
            </w:r>
            <w:r w:rsidRPr="00C76985" w:rsidDel="00725B16">
              <w:rPr>
                <w:b/>
                <w:bCs/>
                <w:szCs w:val="23"/>
              </w:rPr>
              <w:t xml:space="preserve"> </w:t>
            </w:r>
            <w:r w:rsidR="00843EC1" w:rsidRPr="00C76985">
              <w:rPr>
                <w:b/>
                <w:bCs/>
                <w:szCs w:val="23"/>
              </w:rPr>
              <w:t>portfolio</w:t>
            </w:r>
            <w:r w:rsidR="00843EC1">
              <w:rPr>
                <w:b/>
                <w:bCs/>
                <w:szCs w:val="23"/>
              </w:rPr>
              <w:t xml:space="preserve"> actions</w:t>
            </w:r>
          </w:p>
        </w:tc>
        <w:tc>
          <w:tcPr>
            <w:tcW w:w="3420" w:type="dxa"/>
            <w:shd w:val="clear" w:color="auto" w:fill="auto"/>
            <w:vAlign w:val="center"/>
          </w:tcPr>
          <w:p w14:paraId="3B8D0D0E" w14:textId="77777777" w:rsidR="00843EC1" w:rsidRDefault="00843EC1">
            <w:pPr>
              <w:pStyle w:val="ListParagraph"/>
              <w:numPr>
                <w:ilvl w:val="0"/>
                <w:numId w:val="31"/>
              </w:numPr>
              <w:jc w:val="both"/>
              <w:rPr>
                <w:szCs w:val="23"/>
              </w:rPr>
            </w:pPr>
            <w:r>
              <w:rPr>
                <w:szCs w:val="23"/>
              </w:rPr>
              <w:t>Shield against 5mm debris</w:t>
            </w:r>
          </w:p>
          <w:p w14:paraId="2D3AA0D6" w14:textId="77777777" w:rsidR="00843EC1" w:rsidRDefault="00843EC1">
            <w:pPr>
              <w:pStyle w:val="ListParagraph"/>
              <w:numPr>
                <w:ilvl w:val="0"/>
                <w:numId w:val="31"/>
              </w:numPr>
              <w:jc w:val="both"/>
              <w:rPr>
                <w:szCs w:val="23"/>
              </w:rPr>
            </w:pPr>
            <w:r>
              <w:rPr>
                <w:szCs w:val="23"/>
              </w:rPr>
              <w:t>Laser ranging and 2 new Space Fences</w:t>
            </w:r>
          </w:p>
          <w:p w14:paraId="3D3907E9" w14:textId="77777777" w:rsidR="00843EC1" w:rsidRDefault="00843EC1">
            <w:pPr>
              <w:pStyle w:val="ListParagraph"/>
              <w:numPr>
                <w:ilvl w:val="0"/>
                <w:numId w:val="31"/>
              </w:numPr>
              <w:jc w:val="both"/>
              <w:rPr>
                <w:szCs w:val="23"/>
              </w:rPr>
            </w:pPr>
            <w:r>
              <w:rPr>
                <w:szCs w:val="23"/>
              </w:rPr>
              <w:t>Laser JCA</w:t>
            </w:r>
          </w:p>
          <w:p w14:paraId="4FF14B23" w14:textId="77777777" w:rsidR="00843EC1" w:rsidRDefault="00843EC1">
            <w:pPr>
              <w:pStyle w:val="ListParagraph"/>
              <w:numPr>
                <w:ilvl w:val="0"/>
                <w:numId w:val="31"/>
              </w:numPr>
              <w:jc w:val="both"/>
              <w:rPr>
                <w:szCs w:val="23"/>
              </w:rPr>
            </w:pPr>
            <w:r>
              <w:rPr>
                <w:szCs w:val="23"/>
              </w:rPr>
              <w:t>0-year PMD</w:t>
            </w:r>
          </w:p>
          <w:p w14:paraId="76DC6137" w14:textId="77777777" w:rsidR="00843EC1" w:rsidRDefault="00843EC1">
            <w:pPr>
              <w:pStyle w:val="ListParagraph"/>
              <w:numPr>
                <w:ilvl w:val="0"/>
                <w:numId w:val="31"/>
              </w:numPr>
              <w:jc w:val="both"/>
              <w:rPr>
                <w:szCs w:val="23"/>
              </w:rPr>
            </w:pPr>
            <w:r>
              <w:rPr>
                <w:szCs w:val="23"/>
              </w:rPr>
              <w:t>Passivation</w:t>
            </w:r>
          </w:p>
          <w:p w14:paraId="7F8A8392" w14:textId="77777777" w:rsidR="00843EC1" w:rsidRPr="00FD0757" w:rsidRDefault="00843EC1">
            <w:pPr>
              <w:pStyle w:val="ListParagraph"/>
              <w:numPr>
                <w:ilvl w:val="0"/>
                <w:numId w:val="31"/>
              </w:numPr>
              <w:jc w:val="both"/>
              <w:rPr>
                <w:szCs w:val="23"/>
              </w:rPr>
            </w:pPr>
            <w:r>
              <w:rPr>
                <w:szCs w:val="23"/>
              </w:rPr>
              <w:t>Laser removal of cm debris</w:t>
            </w:r>
          </w:p>
        </w:tc>
        <w:tc>
          <w:tcPr>
            <w:tcW w:w="1260" w:type="dxa"/>
            <w:shd w:val="clear" w:color="auto" w:fill="E7E6E6" w:themeFill="background2"/>
            <w:vAlign w:val="center"/>
          </w:tcPr>
          <w:p w14:paraId="7FE67D55" w14:textId="1672528F" w:rsidR="00843EC1" w:rsidRPr="00C76985" w:rsidRDefault="00725B16">
            <w:pPr>
              <w:jc w:val="center"/>
              <w:rPr>
                <w:b/>
                <w:bCs/>
                <w:szCs w:val="23"/>
              </w:rPr>
            </w:pPr>
            <w:r>
              <w:rPr>
                <w:b/>
                <w:bCs/>
                <w:szCs w:val="23"/>
              </w:rPr>
              <w:t>Ranking of</w:t>
            </w:r>
            <w:r w:rsidRPr="00C76985" w:rsidDel="00725B16">
              <w:rPr>
                <w:b/>
                <w:bCs/>
                <w:szCs w:val="23"/>
              </w:rPr>
              <w:t xml:space="preserve"> </w:t>
            </w:r>
            <w:r w:rsidR="00843EC1" w:rsidRPr="00C76985">
              <w:rPr>
                <w:b/>
                <w:bCs/>
                <w:szCs w:val="23"/>
              </w:rPr>
              <w:t>portfolio</w:t>
            </w:r>
            <w:r w:rsidR="00843EC1">
              <w:rPr>
                <w:b/>
                <w:bCs/>
                <w:szCs w:val="23"/>
              </w:rPr>
              <w:t xml:space="preserve"> actions</w:t>
            </w:r>
          </w:p>
        </w:tc>
        <w:tc>
          <w:tcPr>
            <w:tcW w:w="3415" w:type="dxa"/>
            <w:shd w:val="clear" w:color="auto" w:fill="auto"/>
            <w:vAlign w:val="center"/>
          </w:tcPr>
          <w:p w14:paraId="48632B7A" w14:textId="77777777" w:rsidR="00843EC1" w:rsidRDefault="00843EC1">
            <w:pPr>
              <w:pStyle w:val="ListParagraph"/>
              <w:numPr>
                <w:ilvl w:val="0"/>
                <w:numId w:val="32"/>
              </w:numPr>
              <w:jc w:val="both"/>
              <w:rPr>
                <w:szCs w:val="23"/>
              </w:rPr>
            </w:pPr>
            <w:r>
              <w:rPr>
                <w:szCs w:val="23"/>
              </w:rPr>
              <w:t>Laser ranging and 2 new Space Fences</w:t>
            </w:r>
          </w:p>
          <w:p w14:paraId="1F87BC11" w14:textId="77777777" w:rsidR="00843EC1" w:rsidRDefault="00843EC1">
            <w:pPr>
              <w:pStyle w:val="ListParagraph"/>
              <w:numPr>
                <w:ilvl w:val="0"/>
                <w:numId w:val="32"/>
              </w:numPr>
              <w:jc w:val="both"/>
              <w:rPr>
                <w:szCs w:val="23"/>
              </w:rPr>
            </w:pPr>
            <w:r>
              <w:rPr>
                <w:szCs w:val="23"/>
              </w:rPr>
              <w:t>Laser removal of cm debris</w:t>
            </w:r>
          </w:p>
          <w:p w14:paraId="35469C5D" w14:textId="77777777" w:rsidR="00843EC1" w:rsidRDefault="00843EC1">
            <w:pPr>
              <w:pStyle w:val="ListParagraph"/>
              <w:numPr>
                <w:ilvl w:val="0"/>
                <w:numId w:val="32"/>
              </w:numPr>
              <w:jc w:val="both"/>
              <w:rPr>
                <w:szCs w:val="23"/>
              </w:rPr>
            </w:pPr>
            <w:r>
              <w:rPr>
                <w:szCs w:val="23"/>
              </w:rPr>
              <w:t>Laser JCA</w:t>
            </w:r>
          </w:p>
          <w:p w14:paraId="70E95A7F" w14:textId="77777777" w:rsidR="00843EC1" w:rsidRDefault="00843EC1">
            <w:pPr>
              <w:pStyle w:val="ListParagraph"/>
              <w:numPr>
                <w:ilvl w:val="0"/>
                <w:numId w:val="32"/>
              </w:numPr>
              <w:jc w:val="both"/>
              <w:rPr>
                <w:szCs w:val="23"/>
              </w:rPr>
            </w:pPr>
            <w:r>
              <w:rPr>
                <w:szCs w:val="23"/>
              </w:rPr>
              <w:t>Shield against 5mm debris</w:t>
            </w:r>
          </w:p>
          <w:p w14:paraId="4341BB9D" w14:textId="77777777" w:rsidR="00843EC1" w:rsidRDefault="00843EC1">
            <w:pPr>
              <w:pStyle w:val="ListParagraph"/>
              <w:numPr>
                <w:ilvl w:val="0"/>
                <w:numId w:val="32"/>
              </w:numPr>
              <w:jc w:val="both"/>
              <w:rPr>
                <w:szCs w:val="23"/>
              </w:rPr>
            </w:pPr>
            <w:r>
              <w:rPr>
                <w:szCs w:val="23"/>
              </w:rPr>
              <w:t>0-year PMD</w:t>
            </w:r>
          </w:p>
          <w:p w14:paraId="4BC74B14" w14:textId="77777777" w:rsidR="00843EC1" w:rsidRPr="00FD0757" w:rsidRDefault="00843EC1">
            <w:pPr>
              <w:pStyle w:val="ListParagraph"/>
              <w:numPr>
                <w:ilvl w:val="0"/>
                <w:numId w:val="32"/>
              </w:numPr>
              <w:jc w:val="both"/>
              <w:rPr>
                <w:szCs w:val="23"/>
              </w:rPr>
            </w:pPr>
            <w:r>
              <w:rPr>
                <w:szCs w:val="23"/>
              </w:rPr>
              <w:t>Passivation</w:t>
            </w:r>
          </w:p>
        </w:tc>
      </w:tr>
      <w:tr w:rsidR="00843EC1" w14:paraId="3D5FCB3C" w14:textId="77777777">
        <w:trPr>
          <w:trHeight w:val="520"/>
        </w:trPr>
        <w:tc>
          <w:tcPr>
            <w:tcW w:w="1260" w:type="dxa"/>
            <w:shd w:val="clear" w:color="auto" w:fill="E7E6E6" w:themeFill="background2"/>
            <w:vAlign w:val="center"/>
          </w:tcPr>
          <w:p w14:paraId="61D02ABF" w14:textId="77777777" w:rsidR="00843EC1" w:rsidRPr="00C76985" w:rsidRDefault="00843EC1">
            <w:pPr>
              <w:jc w:val="center"/>
              <w:rPr>
                <w:szCs w:val="23"/>
              </w:rPr>
            </w:pPr>
            <w:r w:rsidRPr="00C76985">
              <w:rPr>
                <w:b/>
                <w:bCs/>
                <w:szCs w:val="23"/>
              </w:rPr>
              <w:t>NPV</w:t>
            </w:r>
          </w:p>
        </w:tc>
        <w:tc>
          <w:tcPr>
            <w:tcW w:w="3420" w:type="dxa"/>
            <w:vAlign w:val="center"/>
          </w:tcPr>
          <w:p w14:paraId="0A04BE00" w14:textId="77777777" w:rsidR="00843EC1" w:rsidRPr="00C76985" w:rsidRDefault="00843EC1">
            <w:pPr>
              <w:jc w:val="center"/>
              <w:rPr>
                <w:szCs w:val="23"/>
              </w:rPr>
            </w:pPr>
            <w:r w:rsidRPr="00C76985">
              <w:rPr>
                <w:szCs w:val="23"/>
              </w:rPr>
              <w:t>$</w:t>
            </w:r>
            <w:r>
              <w:rPr>
                <w:szCs w:val="23"/>
              </w:rPr>
              <w:t>2.97</w:t>
            </w:r>
            <w:r w:rsidRPr="00C76985">
              <w:rPr>
                <w:szCs w:val="23"/>
              </w:rPr>
              <w:t xml:space="preserve"> T</w:t>
            </w:r>
          </w:p>
        </w:tc>
        <w:tc>
          <w:tcPr>
            <w:tcW w:w="1260" w:type="dxa"/>
            <w:shd w:val="clear" w:color="auto" w:fill="E7E6E6" w:themeFill="background2"/>
            <w:vAlign w:val="center"/>
          </w:tcPr>
          <w:p w14:paraId="72F9CCF4" w14:textId="77777777" w:rsidR="00843EC1" w:rsidRPr="00C76985" w:rsidRDefault="00843EC1">
            <w:pPr>
              <w:jc w:val="center"/>
              <w:rPr>
                <w:szCs w:val="23"/>
              </w:rPr>
            </w:pPr>
            <w:r w:rsidRPr="00C76985">
              <w:rPr>
                <w:b/>
                <w:bCs/>
                <w:szCs w:val="23"/>
              </w:rPr>
              <w:t>NPV</w:t>
            </w:r>
          </w:p>
        </w:tc>
        <w:tc>
          <w:tcPr>
            <w:tcW w:w="3415" w:type="dxa"/>
            <w:vAlign w:val="center"/>
          </w:tcPr>
          <w:p w14:paraId="7438AD5D" w14:textId="77777777" w:rsidR="00843EC1" w:rsidRPr="00C76985" w:rsidRDefault="00843EC1">
            <w:pPr>
              <w:jc w:val="center"/>
              <w:rPr>
                <w:szCs w:val="23"/>
              </w:rPr>
            </w:pPr>
            <w:r w:rsidRPr="00C76985">
              <w:rPr>
                <w:szCs w:val="23"/>
              </w:rPr>
              <w:t>$</w:t>
            </w:r>
            <w:r>
              <w:rPr>
                <w:szCs w:val="23"/>
              </w:rPr>
              <w:t>281</w:t>
            </w:r>
            <w:r w:rsidRPr="00C76985">
              <w:rPr>
                <w:szCs w:val="23"/>
              </w:rPr>
              <w:t xml:space="preserve"> B</w:t>
            </w:r>
          </w:p>
        </w:tc>
      </w:tr>
      <w:tr w:rsidR="00843EC1" w14:paraId="623581CA" w14:textId="77777777">
        <w:trPr>
          <w:trHeight w:val="520"/>
        </w:trPr>
        <w:tc>
          <w:tcPr>
            <w:tcW w:w="1260" w:type="dxa"/>
            <w:shd w:val="clear" w:color="auto" w:fill="E7E6E6" w:themeFill="background2"/>
            <w:vAlign w:val="center"/>
          </w:tcPr>
          <w:p w14:paraId="1F049FC8" w14:textId="77777777" w:rsidR="00843EC1" w:rsidRPr="00AC0BD6" w:rsidRDefault="00843EC1">
            <w:pPr>
              <w:jc w:val="center"/>
              <w:rPr>
                <w:szCs w:val="23"/>
              </w:rPr>
            </w:pPr>
            <w:r w:rsidRPr="00AC0BD6">
              <w:rPr>
                <w:b/>
                <w:bCs/>
                <w:szCs w:val="23"/>
              </w:rPr>
              <w:t>Up-front cost</w:t>
            </w:r>
          </w:p>
        </w:tc>
        <w:tc>
          <w:tcPr>
            <w:tcW w:w="3420" w:type="dxa"/>
            <w:vAlign w:val="center"/>
          </w:tcPr>
          <w:p w14:paraId="0F726D1D" w14:textId="77777777" w:rsidR="00843EC1" w:rsidRPr="00C76985" w:rsidRDefault="00843EC1">
            <w:pPr>
              <w:jc w:val="center"/>
              <w:rPr>
                <w:szCs w:val="23"/>
              </w:rPr>
            </w:pPr>
            <w:r>
              <w:rPr>
                <w:szCs w:val="23"/>
              </w:rPr>
              <w:t>$2.51 B</w:t>
            </w:r>
          </w:p>
        </w:tc>
        <w:tc>
          <w:tcPr>
            <w:tcW w:w="1260" w:type="dxa"/>
            <w:shd w:val="clear" w:color="auto" w:fill="E7E6E6" w:themeFill="background2"/>
            <w:vAlign w:val="center"/>
          </w:tcPr>
          <w:p w14:paraId="33D0A084" w14:textId="77777777" w:rsidR="00843EC1" w:rsidRPr="00AC0BD6" w:rsidRDefault="00843EC1">
            <w:pPr>
              <w:jc w:val="center"/>
              <w:rPr>
                <w:szCs w:val="23"/>
              </w:rPr>
            </w:pPr>
            <w:r w:rsidRPr="00AC0BD6">
              <w:rPr>
                <w:b/>
                <w:bCs/>
                <w:szCs w:val="23"/>
              </w:rPr>
              <w:t>Up-front cost</w:t>
            </w:r>
          </w:p>
        </w:tc>
        <w:tc>
          <w:tcPr>
            <w:tcW w:w="3415" w:type="dxa"/>
            <w:vAlign w:val="center"/>
          </w:tcPr>
          <w:p w14:paraId="65AABD85" w14:textId="77777777" w:rsidR="00843EC1" w:rsidRPr="00C76985" w:rsidRDefault="00843EC1">
            <w:pPr>
              <w:jc w:val="center"/>
              <w:rPr>
                <w:szCs w:val="23"/>
              </w:rPr>
            </w:pPr>
            <w:r>
              <w:rPr>
                <w:szCs w:val="23"/>
              </w:rPr>
              <w:t>$2.51 B</w:t>
            </w:r>
          </w:p>
        </w:tc>
      </w:tr>
      <w:tr w:rsidR="00843EC1" w14:paraId="61CD1C44" w14:textId="77777777">
        <w:trPr>
          <w:trHeight w:val="520"/>
        </w:trPr>
        <w:tc>
          <w:tcPr>
            <w:tcW w:w="1260" w:type="dxa"/>
            <w:shd w:val="clear" w:color="auto" w:fill="E7E6E6" w:themeFill="background2"/>
            <w:vAlign w:val="center"/>
          </w:tcPr>
          <w:p w14:paraId="39C1007E" w14:textId="77777777" w:rsidR="00843EC1" w:rsidRPr="00AC0BD6" w:rsidRDefault="00843EC1">
            <w:pPr>
              <w:jc w:val="center"/>
              <w:rPr>
                <w:szCs w:val="23"/>
              </w:rPr>
            </w:pPr>
            <w:r w:rsidRPr="00AC0BD6">
              <w:rPr>
                <w:b/>
                <w:bCs/>
                <w:szCs w:val="23"/>
              </w:rPr>
              <w:t>Running cost</w:t>
            </w:r>
          </w:p>
        </w:tc>
        <w:tc>
          <w:tcPr>
            <w:tcW w:w="3420" w:type="dxa"/>
            <w:vAlign w:val="center"/>
          </w:tcPr>
          <w:p w14:paraId="3C3CC102" w14:textId="77777777" w:rsidR="00843EC1" w:rsidRPr="00C76985" w:rsidRDefault="00843EC1">
            <w:pPr>
              <w:jc w:val="center"/>
              <w:rPr>
                <w:szCs w:val="23"/>
              </w:rPr>
            </w:pPr>
            <w:r>
              <w:rPr>
                <w:szCs w:val="23"/>
              </w:rPr>
              <w:t>$150 M/year</w:t>
            </w:r>
          </w:p>
        </w:tc>
        <w:tc>
          <w:tcPr>
            <w:tcW w:w="1260" w:type="dxa"/>
            <w:shd w:val="clear" w:color="auto" w:fill="E7E6E6" w:themeFill="background2"/>
            <w:vAlign w:val="center"/>
          </w:tcPr>
          <w:p w14:paraId="01C53E66" w14:textId="77777777" w:rsidR="00843EC1" w:rsidRPr="00AC0BD6" w:rsidRDefault="00843EC1">
            <w:pPr>
              <w:jc w:val="center"/>
              <w:rPr>
                <w:szCs w:val="23"/>
              </w:rPr>
            </w:pPr>
            <w:r w:rsidRPr="00AC0BD6">
              <w:rPr>
                <w:b/>
                <w:bCs/>
                <w:szCs w:val="23"/>
              </w:rPr>
              <w:t>Running cost</w:t>
            </w:r>
          </w:p>
        </w:tc>
        <w:tc>
          <w:tcPr>
            <w:tcW w:w="3415" w:type="dxa"/>
            <w:vAlign w:val="center"/>
          </w:tcPr>
          <w:p w14:paraId="06F78C46" w14:textId="77777777" w:rsidR="00843EC1" w:rsidRPr="00C76985" w:rsidRDefault="00843EC1">
            <w:pPr>
              <w:jc w:val="center"/>
              <w:rPr>
                <w:szCs w:val="23"/>
              </w:rPr>
            </w:pPr>
            <w:r>
              <w:rPr>
                <w:szCs w:val="23"/>
              </w:rPr>
              <w:t>$150 M/year</w:t>
            </w:r>
          </w:p>
        </w:tc>
      </w:tr>
    </w:tbl>
    <w:p w14:paraId="2F1A37A7" w14:textId="77777777" w:rsidR="00722A18" w:rsidRDefault="00722A18" w:rsidP="00FC62B5"/>
    <w:p w14:paraId="7421EDF3" w14:textId="77777777" w:rsidR="001109ED" w:rsidRDefault="00C501D1" w:rsidP="001109ED">
      <w:pPr>
        <w:keepNext/>
      </w:pPr>
      <w:r>
        <w:rPr>
          <w:noProof/>
        </w:rPr>
        <w:lastRenderedPageBreak/>
        <w:drawing>
          <wp:inline distT="0" distB="0" distL="0" distR="0" wp14:anchorId="1C78BFF1" wp14:editId="71303148">
            <wp:extent cx="5943600" cy="2971800"/>
            <wp:effectExtent l="0" t="0" r="0" b="0"/>
            <wp:docPr id="1245979868" name="Picture 124597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79868" name="Picture 12459798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CF6978B" w14:textId="6DA9CB17" w:rsidR="00C43372" w:rsidRDefault="001109ED" w:rsidP="001109ED">
      <w:pPr>
        <w:pStyle w:val="Caption"/>
      </w:pPr>
      <w:r w:rsidRPr="00CD27F7">
        <w:t xml:space="preserve">Figure </w:t>
      </w:r>
      <w:r>
        <w:fldChar w:fldCharType="begin"/>
      </w:r>
      <w:r>
        <w:instrText xml:space="preserve"> SEQ Figure \* ARABIC </w:instrText>
      </w:r>
      <w:r>
        <w:fldChar w:fldCharType="separate"/>
      </w:r>
      <w:r w:rsidR="001F0D0C">
        <w:rPr>
          <w:noProof/>
        </w:rPr>
        <w:t>7</w:t>
      </w:r>
      <w:r>
        <w:rPr>
          <w:noProof/>
        </w:rPr>
        <w:fldChar w:fldCharType="end"/>
      </w:r>
      <w:r w:rsidRPr="00CD27F7">
        <w:t>: Scaling of overall portfolio NPV as actions are added in</w:t>
      </w:r>
      <w:r w:rsidR="00E0205B">
        <w:t xml:space="preserve"> unconstrained</w:t>
      </w:r>
      <w:r w:rsidRPr="00CD27F7">
        <w:t xml:space="preserve"> </w:t>
      </w:r>
      <w:r w:rsidR="00B608A7">
        <w:t>efficient</w:t>
      </w:r>
      <w:r w:rsidRPr="00CD27F7">
        <w:t xml:space="preserve"> rank orders (shown in Table </w:t>
      </w:r>
      <w:r w:rsidR="004E49EC">
        <w:t>5</w:t>
      </w:r>
      <w:r w:rsidRPr="00CD27F7">
        <w:t>).</w:t>
      </w:r>
      <w:r w:rsidR="00911C9C">
        <w:t xml:space="preserve"> The red line shows scaling under Model 1, the blue line shows scaling under Model 2.</w:t>
      </w:r>
      <w:r w:rsidR="00CD27F7">
        <w:t xml:space="preserve"> Portfolio NPVs are </w:t>
      </w:r>
      <w:r w:rsidR="004B41F6">
        <w:t xml:space="preserve">expressed as fractions of the NPV of the </w:t>
      </w:r>
      <w:r w:rsidR="00B608A7">
        <w:t>efficient</w:t>
      </w:r>
      <w:r w:rsidR="004B41F6">
        <w:t xml:space="preserve"> portfolio</w:t>
      </w:r>
      <w:r w:rsidR="00911C9C">
        <w:t>s for the given model.</w:t>
      </w:r>
    </w:p>
    <w:p w14:paraId="2C82083A" w14:textId="5EDA07F1" w:rsidR="0035422C" w:rsidRDefault="0035422C" w:rsidP="00581647">
      <w:pPr>
        <w:ind w:firstLine="360"/>
      </w:pPr>
      <w:r>
        <w:t xml:space="preserve">Next, we </w:t>
      </w:r>
      <w:r w:rsidR="00A43C1B">
        <w:t xml:space="preserve">assess </w:t>
      </w:r>
      <w:r w:rsidR="00B608A7">
        <w:t>efficient</w:t>
      </w:r>
      <w:r w:rsidR="00A43C1B">
        <w:t xml:space="preserve"> portfolios under constraints to include particular actions. </w:t>
      </w:r>
      <w:r w:rsidR="00F14851">
        <w:t xml:space="preserve">While this could in principle be done with any actions, we </w:t>
      </w:r>
      <w:r w:rsidR="00A43C1B">
        <w:t xml:space="preserve">focus on </w:t>
      </w:r>
      <w:r w:rsidR="00F14851">
        <w:t xml:space="preserve">ADR. Since </w:t>
      </w:r>
      <w:r w:rsidR="001D0DD5">
        <w:t>it was not</w:t>
      </w:r>
      <w:r w:rsidR="00F14851">
        <w:t xml:space="preserve"> selected </w:t>
      </w:r>
      <w:r w:rsidR="001D0DD5">
        <w:t>in</w:t>
      </w:r>
      <w:r w:rsidR="00A43C1B">
        <w:t xml:space="preserve"> the unconstrained </w:t>
      </w:r>
      <w:r w:rsidR="00B608A7">
        <w:t>efficient</w:t>
      </w:r>
      <w:r w:rsidR="00A43C1B">
        <w:t xml:space="preserve"> portfolios, </w:t>
      </w:r>
      <w:r w:rsidR="001D0DD5">
        <w:t>it</w:t>
      </w:r>
      <w:r w:rsidR="00A43C1B">
        <w:t xml:space="preserve"> </w:t>
      </w:r>
      <w:r w:rsidR="00887662">
        <w:t>provide</w:t>
      </w:r>
      <w:r w:rsidR="001D0DD5">
        <w:t>s</w:t>
      </w:r>
      <w:r w:rsidR="00887662">
        <w:t xml:space="preserve"> </w:t>
      </w:r>
      <w:r w:rsidR="001D0DD5">
        <w:t>insight into the best outcomes that can be achieved while deviating from the unconstrained optimum</w:t>
      </w:r>
      <w:r w:rsidR="00887662">
        <w:t>.</w:t>
      </w:r>
    </w:p>
    <w:p w14:paraId="3E3E0870" w14:textId="6D903DF7" w:rsidR="005D7C8D" w:rsidRDefault="005D7C8D" w:rsidP="002223B4">
      <w:pPr>
        <w:ind w:firstLine="360"/>
      </w:pPr>
      <w:r>
        <w:t xml:space="preserve">When constraining the portfolio to include ADR, </w:t>
      </w:r>
      <w:r w:rsidR="00B1520E">
        <w:t>both</w:t>
      </w:r>
      <w:r w:rsidR="00D53FF7">
        <w:t xml:space="preserve"> models </w:t>
      </w:r>
      <w:r w:rsidR="00562263">
        <w:t xml:space="preserve">support a strategy of choosing a larger set of actions than when unconstrained. On the one hand, this can result in NPV </w:t>
      </w:r>
      <w:r w:rsidR="00334C63">
        <w:t xml:space="preserve">nearly identical to the </w:t>
      </w:r>
      <w:r w:rsidR="00BE55F4">
        <w:t xml:space="preserve">unconstrained </w:t>
      </w:r>
      <w:r w:rsidR="004E49EC">
        <w:t>maximum</w:t>
      </w:r>
      <w:r w:rsidR="00BE55F4">
        <w:t xml:space="preserve">. </w:t>
      </w:r>
      <w:r w:rsidR="00B1520E">
        <w:t xml:space="preserve">This suggests that constraining the solution to include a particular set of technologies need not result in </w:t>
      </w:r>
      <w:r w:rsidR="00CB32EB">
        <w:t xml:space="preserve">very poor outcomes. </w:t>
      </w:r>
      <w:r w:rsidR="00BE55F4">
        <w:t>On the other hand, thi</w:t>
      </w:r>
      <w:r w:rsidR="00A907C7">
        <w:t xml:space="preserve">s </w:t>
      </w:r>
      <w:r w:rsidR="00F81105">
        <w:t>net benefit</w:t>
      </w:r>
      <w:r w:rsidR="00BE55F4">
        <w:t xml:space="preserve"> comes at substantially higher up-front</w:t>
      </w:r>
      <w:r w:rsidR="00562263">
        <w:t xml:space="preserve"> </w:t>
      </w:r>
      <w:r w:rsidR="00BE55F4">
        <w:t>and running costs.</w:t>
      </w:r>
      <w:r w:rsidR="00F528F9">
        <w:t xml:space="preserve"> </w:t>
      </w:r>
      <w:r w:rsidR="00717DBA">
        <w:t xml:space="preserve">The implication – supported </w:t>
      </w:r>
      <w:r w:rsidR="00717DBA" w:rsidRPr="005F0528">
        <w:rPr>
          <w:color w:val="000000" w:themeColor="text1"/>
        </w:rPr>
        <w:t xml:space="preserve">by Figure </w:t>
      </w:r>
      <w:r w:rsidR="005F0528" w:rsidRPr="005F0528">
        <w:rPr>
          <w:color w:val="000000" w:themeColor="text1"/>
        </w:rPr>
        <w:t>8</w:t>
      </w:r>
      <w:r w:rsidR="00717DBA" w:rsidRPr="005F0528">
        <w:rPr>
          <w:color w:val="000000" w:themeColor="text1"/>
        </w:rPr>
        <w:t xml:space="preserve"> – is </w:t>
      </w:r>
      <w:r w:rsidR="00717DBA">
        <w:t xml:space="preserve">that </w:t>
      </w:r>
      <w:r w:rsidR="005C6C9A">
        <w:t xml:space="preserve">the </w:t>
      </w:r>
      <w:r w:rsidR="00717DBA">
        <w:t>ADR</w:t>
      </w:r>
      <w:r w:rsidR="005C6C9A">
        <w:t xml:space="preserve"> CONOPS considered</w:t>
      </w:r>
      <w:r w:rsidR="00717DBA">
        <w:t xml:space="preserve"> adds low </w:t>
      </w:r>
      <w:r w:rsidR="00892F58">
        <w:t xml:space="preserve">value. Indeed, while </w:t>
      </w:r>
      <w:r w:rsidR="00772735">
        <w:t xml:space="preserve">the </w:t>
      </w:r>
      <w:r w:rsidR="00892F58">
        <w:t>Laser JCA</w:t>
      </w:r>
      <w:r w:rsidR="00772735">
        <w:t xml:space="preserve"> CONOPS considered</w:t>
      </w:r>
      <w:r w:rsidR="00892F58">
        <w:t xml:space="preserve"> is among the lowest priority actions in this portfolio, the fact that it is included at all indicates that it provides value in addressing risk from large objects – indicating that ADR at the scale considered here </w:t>
      </w:r>
      <w:r w:rsidR="00147AA7">
        <w:t>does not sufficiently address risk from large objects</w:t>
      </w:r>
      <w:r w:rsidR="00892F58">
        <w:t>.</w:t>
      </w:r>
      <w:r w:rsidR="00147AA7">
        <w:t xml:space="preserve"> </w:t>
      </w:r>
      <w:r w:rsidR="007A5B57">
        <w:t>Note that the inclusion of Laser JCA in this portfolio</w:t>
      </w:r>
      <w:r w:rsidR="00006E48">
        <w:t xml:space="preserve"> </w:t>
      </w:r>
      <w:r w:rsidR="002F742E">
        <w:t>is a statement</w:t>
      </w:r>
      <w:r w:rsidR="00B45E2C">
        <w:t xml:space="preserve"> about</w:t>
      </w:r>
      <w:r w:rsidR="002F742E">
        <w:t xml:space="preserve"> </w:t>
      </w:r>
      <w:r w:rsidR="00726714">
        <w:t xml:space="preserve">the assumed efficacy of the ADR action, not the </w:t>
      </w:r>
      <w:r w:rsidR="00147AA7">
        <w:t xml:space="preserve">assumed costs </w:t>
      </w:r>
      <w:r w:rsidR="00006E48">
        <w:t xml:space="preserve">associated with the </w:t>
      </w:r>
      <w:r w:rsidR="007A5B57">
        <w:t xml:space="preserve">ADR </w:t>
      </w:r>
      <w:r w:rsidR="00006E48">
        <w:t>CONOPS considered.</w:t>
      </w:r>
      <w:r w:rsidR="007A5B57">
        <w:t xml:space="preserve"> Were ADR to </w:t>
      </w:r>
      <w:r w:rsidR="00C1426D">
        <w:t>remove</w:t>
      </w:r>
      <w:r w:rsidR="007A5B57">
        <w:t xml:space="preserve"> more than 5 </w:t>
      </w:r>
      <w:r w:rsidR="00C1426D">
        <w:t>large objects per year –</w:t>
      </w:r>
      <w:r w:rsidR="00726714">
        <w:t xml:space="preserve"> </w:t>
      </w:r>
      <w:r w:rsidR="00C1426D">
        <w:t>roughly</w:t>
      </w:r>
      <w:r w:rsidR="004E2B20">
        <w:t xml:space="preserve"> </w:t>
      </w:r>
      <w:r w:rsidR="00B122CE">
        <w:t>45,000 kg removed per year</w:t>
      </w:r>
      <w:r w:rsidR="00F956F0">
        <w:t xml:space="preserve"> – </w:t>
      </w:r>
      <w:r w:rsidR="002F742E">
        <w:t xml:space="preserve">the models may not find it </w:t>
      </w:r>
      <w:r w:rsidR="00B608A7">
        <w:t>efficient</w:t>
      </w:r>
      <w:r w:rsidR="002F742E">
        <w:t xml:space="preserve"> to include </w:t>
      </w:r>
      <w:r w:rsidR="00726714">
        <w:t>Laser JCA in this portfolio.</w:t>
      </w:r>
    </w:p>
    <w:p w14:paraId="37D0C554" w14:textId="77777777" w:rsidR="005D125A" w:rsidRDefault="005D125A" w:rsidP="00581647">
      <w:pPr>
        <w:ind w:firstLine="360"/>
      </w:pPr>
    </w:p>
    <w:p w14:paraId="7C3D7FB0" w14:textId="2BF12973" w:rsidR="008B3EBB" w:rsidRDefault="008B3EBB" w:rsidP="008B3EBB">
      <w:pPr>
        <w:pStyle w:val="Caption"/>
        <w:keepNext/>
      </w:pPr>
      <w:r>
        <w:lastRenderedPageBreak/>
        <w:t xml:space="preserve">Table </w:t>
      </w:r>
      <w:r>
        <w:fldChar w:fldCharType="begin"/>
      </w:r>
      <w:r>
        <w:instrText xml:space="preserve"> SEQ Table \* ARABIC </w:instrText>
      </w:r>
      <w:r>
        <w:fldChar w:fldCharType="separate"/>
      </w:r>
      <w:r w:rsidR="001F0D0C">
        <w:rPr>
          <w:noProof/>
        </w:rPr>
        <w:t>6</w:t>
      </w:r>
      <w:r>
        <w:rPr>
          <w:noProof/>
        </w:rPr>
        <w:fldChar w:fldCharType="end"/>
      </w:r>
      <w:r>
        <w:t xml:space="preserve">: </w:t>
      </w:r>
      <w:r w:rsidR="00B608A7">
        <w:t xml:space="preserve">Efficient </w:t>
      </w:r>
      <w:r>
        <w:t>portfolios with the constraint that ADR</w:t>
      </w:r>
      <w:r w:rsidR="00BD720E">
        <w:t xml:space="preserve"> must be included</w:t>
      </w:r>
      <w:r>
        <w:t>.</w:t>
      </w:r>
    </w:p>
    <w:tbl>
      <w:tblPr>
        <w:tblStyle w:val="TableGrid"/>
        <w:tblW w:w="0" w:type="auto"/>
        <w:tblInd w:w="-5" w:type="dxa"/>
        <w:tblLayout w:type="fixed"/>
        <w:tblLook w:val="04A0" w:firstRow="1" w:lastRow="0" w:firstColumn="1" w:lastColumn="0" w:noHBand="0" w:noVBand="1"/>
      </w:tblPr>
      <w:tblGrid>
        <w:gridCol w:w="1260"/>
        <w:gridCol w:w="3420"/>
        <w:gridCol w:w="1260"/>
        <w:gridCol w:w="3415"/>
      </w:tblGrid>
      <w:tr w:rsidR="00D71211" w14:paraId="057EB523" w14:textId="77777777" w:rsidTr="002F742E">
        <w:trPr>
          <w:trHeight w:val="598"/>
        </w:trPr>
        <w:tc>
          <w:tcPr>
            <w:tcW w:w="4680" w:type="dxa"/>
            <w:gridSpan w:val="2"/>
            <w:shd w:val="clear" w:color="auto" w:fill="E7E6E6" w:themeFill="background2"/>
            <w:vAlign w:val="center"/>
          </w:tcPr>
          <w:p w14:paraId="50CB8C2D" w14:textId="77777777" w:rsidR="00DB7C2B" w:rsidRPr="002B4183" w:rsidRDefault="00DB7C2B">
            <w:pPr>
              <w:spacing w:before="192"/>
              <w:jc w:val="center"/>
              <w:rPr>
                <w:b/>
                <w:bCs/>
              </w:rPr>
            </w:pPr>
            <w:r w:rsidRPr="002B4183">
              <w:rPr>
                <w:b/>
                <w:bCs/>
              </w:rPr>
              <w:t>Model 1</w:t>
            </w:r>
          </w:p>
        </w:tc>
        <w:tc>
          <w:tcPr>
            <w:tcW w:w="4675" w:type="dxa"/>
            <w:gridSpan w:val="2"/>
            <w:shd w:val="clear" w:color="auto" w:fill="E7E6E6" w:themeFill="background2"/>
            <w:vAlign w:val="center"/>
          </w:tcPr>
          <w:p w14:paraId="2BCD7E9A" w14:textId="77777777" w:rsidR="00DB7C2B" w:rsidRPr="002B4183" w:rsidRDefault="00DB7C2B">
            <w:pPr>
              <w:spacing w:before="192"/>
              <w:jc w:val="center"/>
              <w:rPr>
                <w:b/>
                <w:bCs/>
              </w:rPr>
            </w:pPr>
            <w:r w:rsidRPr="002B4183">
              <w:rPr>
                <w:b/>
                <w:bCs/>
              </w:rPr>
              <w:t xml:space="preserve">Model </w:t>
            </w:r>
            <w:r>
              <w:rPr>
                <w:b/>
                <w:bCs/>
              </w:rPr>
              <w:t>2</w:t>
            </w:r>
          </w:p>
        </w:tc>
      </w:tr>
      <w:tr w:rsidR="009D6BBF" w14:paraId="7D2D7846" w14:textId="77777777" w:rsidTr="002F742E">
        <w:trPr>
          <w:trHeight w:val="520"/>
        </w:trPr>
        <w:tc>
          <w:tcPr>
            <w:tcW w:w="1260" w:type="dxa"/>
            <w:shd w:val="clear" w:color="auto" w:fill="E7E6E6" w:themeFill="background2"/>
            <w:vAlign w:val="center"/>
          </w:tcPr>
          <w:p w14:paraId="68F7B55D" w14:textId="6F899965" w:rsidR="00DB7C2B" w:rsidRPr="00C76985" w:rsidRDefault="003B449F">
            <w:pPr>
              <w:jc w:val="center"/>
              <w:rPr>
                <w:b/>
                <w:bCs/>
                <w:szCs w:val="23"/>
              </w:rPr>
            </w:pPr>
            <w:r>
              <w:rPr>
                <w:b/>
                <w:bCs/>
                <w:szCs w:val="23"/>
              </w:rPr>
              <w:t>Ranking of</w:t>
            </w:r>
            <w:r w:rsidRPr="00C76985">
              <w:rPr>
                <w:b/>
                <w:bCs/>
                <w:szCs w:val="23"/>
              </w:rPr>
              <w:t xml:space="preserve"> </w:t>
            </w:r>
            <w:r w:rsidR="00DB7C2B" w:rsidRPr="00C76985">
              <w:rPr>
                <w:b/>
                <w:bCs/>
                <w:szCs w:val="23"/>
              </w:rPr>
              <w:t>portfolio</w:t>
            </w:r>
            <w:r w:rsidR="00DB7C2B">
              <w:rPr>
                <w:b/>
                <w:bCs/>
                <w:szCs w:val="23"/>
              </w:rPr>
              <w:t xml:space="preserve"> actions</w:t>
            </w:r>
          </w:p>
        </w:tc>
        <w:tc>
          <w:tcPr>
            <w:tcW w:w="3420" w:type="dxa"/>
            <w:shd w:val="clear" w:color="auto" w:fill="auto"/>
            <w:vAlign w:val="center"/>
          </w:tcPr>
          <w:p w14:paraId="01F58CBA" w14:textId="5B57FFB4" w:rsidR="00DB7C2B" w:rsidRDefault="005A326C" w:rsidP="005A326C">
            <w:pPr>
              <w:pStyle w:val="ListParagraph"/>
              <w:ind w:left="360"/>
              <w:jc w:val="both"/>
              <w:rPr>
                <w:szCs w:val="23"/>
              </w:rPr>
            </w:pPr>
            <w:r>
              <w:rPr>
                <w:szCs w:val="23"/>
              </w:rPr>
              <w:t>ADR</w:t>
            </w:r>
          </w:p>
          <w:p w14:paraId="44246A2D" w14:textId="6AEFDAEC" w:rsidR="00DB7C2B" w:rsidRDefault="002C2E65" w:rsidP="00DB7C2B">
            <w:pPr>
              <w:pStyle w:val="ListParagraph"/>
              <w:numPr>
                <w:ilvl w:val="0"/>
                <w:numId w:val="36"/>
              </w:numPr>
              <w:jc w:val="both"/>
              <w:rPr>
                <w:szCs w:val="23"/>
              </w:rPr>
            </w:pPr>
            <w:r>
              <w:rPr>
                <w:szCs w:val="23"/>
              </w:rPr>
              <w:t>Shield against 5mm debris</w:t>
            </w:r>
          </w:p>
          <w:p w14:paraId="5F2D9B7A" w14:textId="73B28935" w:rsidR="003A6C37" w:rsidRDefault="003A6C37" w:rsidP="00DB7C2B">
            <w:pPr>
              <w:pStyle w:val="ListParagraph"/>
              <w:numPr>
                <w:ilvl w:val="0"/>
                <w:numId w:val="36"/>
              </w:numPr>
              <w:jc w:val="both"/>
              <w:rPr>
                <w:szCs w:val="23"/>
              </w:rPr>
            </w:pPr>
            <w:r>
              <w:rPr>
                <w:szCs w:val="23"/>
              </w:rPr>
              <w:t>Laser ranging and 2 new Space Fences</w:t>
            </w:r>
          </w:p>
          <w:p w14:paraId="440A1971" w14:textId="797438B8" w:rsidR="00DB7C2B" w:rsidRDefault="00BE38F5" w:rsidP="00DB7C2B">
            <w:pPr>
              <w:pStyle w:val="ListParagraph"/>
              <w:numPr>
                <w:ilvl w:val="0"/>
                <w:numId w:val="36"/>
              </w:numPr>
              <w:jc w:val="both"/>
              <w:rPr>
                <w:szCs w:val="23"/>
              </w:rPr>
            </w:pPr>
            <w:r>
              <w:rPr>
                <w:szCs w:val="23"/>
              </w:rPr>
              <w:t>0-year PMD</w:t>
            </w:r>
          </w:p>
          <w:p w14:paraId="527ECD68" w14:textId="6E980FBA" w:rsidR="00DB7C2B" w:rsidRDefault="00BE38F5" w:rsidP="00DB7C2B">
            <w:pPr>
              <w:pStyle w:val="ListParagraph"/>
              <w:numPr>
                <w:ilvl w:val="0"/>
                <w:numId w:val="36"/>
              </w:numPr>
              <w:jc w:val="both"/>
              <w:rPr>
                <w:szCs w:val="23"/>
              </w:rPr>
            </w:pPr>
            <w:r>
              <w:rPr>
                <w:szCs w:val="23"/>
              </w:rPr>
              <w:t>Laser removal of cm debris</w:t>
            </w:r>
          </w:p>
          <w:p w14:paraId="659AE1F3" w14:textId="77777777" w:rsidR="00DB7C2B" w:rsidRDefault="00DB7C2B" w:rsidP="00DB7C2B">
            <w:pPr>
              <w:pStyle w:val="ListParagraph"/>
              <w:numPr>
                <w:ilvl w:val="0"/>
                <w:numId w:val="36"/>
              </w:numPr>
              <w:jc w:val="both"/>
              <w:rPr>
                <w:szCs w:val="23"/>
              </w:rPr>
            </w:pPr>
            <w:r>
              <w:rPr>
                <w:szCs w:val="23"/>
              </w:rPr>
              <w:t>Passivation</w:t>
            </w:r>
          </w:p>
          <w:p w14:paraId="01DB18F3" w14:textId="75AF9109" w:rsidR="00DB7C2B" w:rsidRPr="00FD0757" w:rsidRDefault="00DB7C2B" w:rsidP="00DB7C2B">
            <w:pPr>
              <w:pStyle w:val="ListParagraph"/>
              <w:numPr>
                <w:ilvl w:val="0"/>
                <w:numId w:val="36"/>
              </w:numPr>
              <w:jc w:val="both"/>
              <w:rPr>
                <w:szCs w:val="23"/>
              </w:rPr>
            </w:pPr>
            <w:r>
              <w:rPr>
                <w:szCs w:val="23"/>
              </w:rPr>
              <w:t xml:space="preserve">Laser </w:t>
            </w:r>
            <w:r w:rsidR="00810477">
              <w:rPr>
                <w:szCs w:val="23"/>
              </w:rPr>
              <w:t>JCA</w:t>
            </w:r>
          </w:p>
        </w:tc>
        <w:tc>
          <w:tcPr>
            <w:tcW w:w="1260" w:type="dxa"/>
            <w:shd w:val="clear" w:color="auto" w:fill="E7E6E6" w:themeFill="background2"/>
            <w:vAlign w:val="center"/>
          </w:tcPr>
          <w:p w14:paraId="4D58C472" w14:textId="0CCEB307" w:rsidR="00DB7C2B" w:rsidRPr="00C76985" w:rsidRDefault="003B449F">
            <w:pPr>
              <w:jc w:val="center"/>
              <w:rPr>
                <w:b/>
                <w:bCs/>
                <w:szCs w:val="23"/>
              </w:rPr>
            </w:pPr>
            <w:r>
              <w:rPr>
                <w:b/>
                <w:bCs/>
                <w:szCs w:val="23"/>
              </w:rPr>
              <w:t>Ranking of</w:t>
            </w:r>
            <w:r w:rsidRPr="00C76985">
              <w:rPr>
                <w:b/>
                <w:bCs/>
                <w:szCs w:val="23"/>
              </w:rPr>
              <w:t xml:space="preserve"> </w:t>
            </w:r>
            <w:r w:rsidR="00DB7C2B" w:rsidRPr="00C76985">
              <w:rPr>
                <w:b/>
                <w:bCs/>
                <w:szCs w:val="23"/>
              </w:rPr>
              <w:t>portfolio</w:t>
            </w:r>
            <w:r w:rsidR="00DB7C2B">
              <w:rPr>
                <w:b/>
                <w:bCs/>
                <w:szCs w:val="23"/>
              </w:rPr>
              <w:t xml:space="preserve"> actions</w:t>
            </w:r>
          </w:p>
        </w:tc>
        <w:tc>
          <w:tcPr>
            <w:tcW w:w="3415" w:type="dxa"/>
            <w:shd w:val="clear" w:color="auto" w:fill="auto"/>
            <w:vAlign w:val="center"/>
          </w:tcPr>
          <w:p w14:paraId="2ABB8F5B" w14:textId="77777777" w:rsidR="005A326C" w:rsidRDefault="005A326C" w:rsidP="005A326C">
            <w:pPr>
              <w:pStyle w:val="ListParagraph"/>
              <w:ind w:left="360"/>
              <w:jc w:val="both"/>
              <w:rPr>
                <w:szCs w:val="23"/>
              </w:rPr>
            </w:pPr>
            <w:r>
              <w:rPr>
                <w:szCs w:val="23"/>
              </w:rPr>
              <w:t>ADR</w:t>
            </w:r>
          </w:p>
          <w:p w14:paraId="7877724B" w14:textId="77777777" w:rsidR="005A326C" w:rsidRDefault="005A326C" w:rsidP="005A326C">
            <w:pPr>
              <w:pStyle w:val="ListParagraph"/>
              <w:numPr>
                <w:ilvl w:val="0"/>
                <w:numId w:val="38"/>
              </w:numPr>
              <w:jc w:val="both"/>
              <w:rPr>
                <w:szCs w:val="23"/>
              </w:rPr>
            </w:pPr>
            <w:r>
              <w:rPr>
                <w:szCs w:val="23"/>
              </w:rPr>
              <w:t>Laser ranging and 2 new Space Fences</w:t>
            </w:r>
          </w:p>
          <w:p w14:paraId="19689817" w14:textId="26EA7757" w:rsidR="005A326C" w:rsidRDefault="005A326C" w:rsidP="005A326C">
            <w:pPr>
              <w:pStyle w:val="ListParagraph"/>
              <w:numPr>
                <w:ilvl w:val="0"/>
                <w:numId w:val="38"/>
              </w:numPr>
              <w:jc w:val="both"/>
              <w:rPr>
                <w:szCs w:val="23"/>
              </w:rPr>
            </w:pPr>
            <w:r>
              <w:rPr>
                <w:szCs w:val="23"/>
              </w:rPr>
              <w:t>Laser removal of cm debris</w:t>
            </w:r>
          </w:p>
          <w:p w14:paraId="3F74D72D" w14:textId="1B0573C2" w:rsidR="00DD61BD" w:rsidRDefault="0072603A" w:rsidP="005A326C">
            <w:pPr>
              <w:pStyle w:val="ListParagraph"/>
              <w:numPr>
                <w:ilvl w:val="0"/>
                <w:numId w:val="38"/>
              </w:numPr>
              <w:jc w:val="both"/>
              <w:rPr>
                <w:szCs w:val="23"/>
              </w:rPr>
            </w:pPr>
            <w:r>
              <w:rPr>
                <w:szCs w:val="23"/>
              </w:rPr>
              <w:t>Shield against 5mm debris</w:t>
            </w:r>
          </w:p>
          <w:p w14:paraId="5C9F72F6" w14:textId="671583F9" w:rsidR="005A326C" w:rsidRDefault="005A326C" w:rsidP="005A326C">
            <w:pPr>
              <w:pStyle w:val="ListParagraph"/>
              <w:numPr>
                <w:ilvl w:val="0"/>
                <w:numId w:val="38"/>
              </w:numPr>
              <w:jc w:val="both"/>
              <w:rPr>
                <w:szCs w:val="23"/>
              </w:rPr>
            </w:pPr>
            <w:r>
              <w:rPr>
                <w:szCs w:val="23"/>
              </w:rPr>
              <w:t>0-year PMD</w:t>
            </w:r>
          </w:p>
          <w:p w14:paraId="1E2DCADC" w14:textId="77777777" w:rsidR="00DB7C2B" w:rsidRDefault="00491CB0" w:rsidP="005A326C">
            <w:pPr>
              <w:pStyle w:val="ListParagraph"/>
              <w:numPr>
                <w:ilvl w:val="0"/>
                <w:numId w:val="38"/>
              </w:numPr>
              <w:jc w:val="both"/>
              <w:rPr>
                <w:szCs w:val="23"/>
              </w:rPr>
            </w:pPr>
            <w:r>
              <w:rPr>
                <w:szCs w:val="23"/>
              </w:rPr>
              <w:t>Laser JCA</w:t>
            </w:r>
          </w:p>
          <w:p w14:paraId="239A9AB3" w14:textId="16235A44" w:rsidR="00DC2CA3" w:rsidRPr="00FD0757" w:rsidRDefault="00DC2CA3" w:rsidP="005A326C">
            <w:pPr>
              <w:pStyle w:val="ListParagraph"/>
              <w:numPr>
                <w:ilvl w:val="0"/>
                <w:numId w:val="38"/>
              </w:numPr>
              <w:jc w:val="both"/>
              <w:rPr>
                <w:szCs w:val="23"/>
              </w:rPr>
            </w:pPr>
            <w:r>
              <w:rPr>
                <w:szCs w:val="23"/>
              </w:rPr>
              <w:t>Passivation</w:t>
            </w:r>
          </w:p>
        </w:tc>
      </w:tr>
      <w:tr w:rsidR="00D71211" w14:paraId="77BAC7E9" w14:textId="77777777" w:rsidTr="002F742E">
        <w:trPr>
          <w:trHeight w:val="520"/>
        </w:trPr>
        <w:tc>
          <w:tcPr>
            <w:tcW w:w="1260" w:type="dxa"/>
            <w:shd w:val="clear" w:color="auto" w:fill="E7E6E6" w:themeFill="background2"/>
            <w:vAlign w:val="center"/>
          </w:tcPr>
          <w:p w14:paraId="546C1EEC" w14:textId="77777777" w:rsidR="00DB7C2B" w:rsidRPr="00C76985" w:rsidRDefault="00DB7C2B">
            <w:pPr>
              <w:jc w:val="center"/>
              <w:rPr>
                <w:szCs w:val="23"/>
              </w:rPr>
            </w:pPr>
            <w:r w:rsidRPr="00C76985">
              <w:rPr>
                <w:b/>
                <w:bCs/>
                <w:szCs w:val="23"/>
              </w:rPr>
              <w:t>NPV</w:t>
            </w:r>
          </w:p>
        </w:tc>
        <w:tc>
          <w:tcPr>
            <w:tcW w:w="3420" w:type="dxa"/>
            <w:vAlign w:val="center"/>
          </w:tcPr>
          <w:p w14:paraId="52EB2990" w14:textId="15EC54FC" w:rsidR="00DB7C2B" w:rsidRPr="00C76985" w:rsidRDefault="00DB7C2B">
            <w:pPr>
              <w:jc w:val="center"/>
              <w:rPr>
                <w:szCs w:val="23"/>
              </w:rPr>
            </w:pPr>
            <w:r w:rsidRPr="00C76985">
              <w:rPr>
                <w:szCs w:val="23"/>
              </w:rPr>
              <w:t>$</w:t>
            </w:r>
            <w:r>
              <w:rPr>
                <w:szCs w:val="23"/>
              </w:rPr>
              <w:t>2.9</w:t>
            </w:r>
            <w:r w:rsidR="00455AD5">
              <w:rPr>
                <w:szCs w:val="23"/>
              </w:rPr>
              <w:t>5</w:t>
            </w:r>
            <w:r w:rsidRPr="00C76985">
              <w:rPr>
                <w:szCs w:val="23"/>
              </w:rPr>
              <w:t xml:space="preserve"> T</w:t>
            </w:r>
          </w:p>
        </w:tc>
        <w:tc>
          <w:tcPr>
            <w:tcW w:w="1260" w:type="dxa"/>
            <w:shd w:val="clear" w:color="auto" w:fill="E7E6E6" w:themeFill="background2"/>
            <w:vAlign w:val="center"/>
          </w:tcPr>
          <w:p w14:paraId="22A64D62" w14:textId="77777777" w:rsidR="00DB7C2B" w:rsidRPr="00C76985" w:rsidRDefault="00DB7C2B">
            <w:pPr>
              <w:jc w:val="center"/>
              <w:rPr>
                <w:szCs w:val="23"/>
              </w:rPr>
            </w:pPr>
            <w:r w:rsidRPr="00C76985">
              <w:rPr>
                <w:b/>
                <w:bCs/>
                <w:szCs w:val="23"/>
              </w:rPr>
              <w:t>NPV</w:t>
            </w:r>
          </w:p>
        </w:tc>
        <w:tc>
          <w:tcPr>
            <w:tcW w:w="3415" w:type="dxa"/>
            <w:vAlign w:val="center"/>
          </w:tcPr>
          <w:p w14:paraId="60F37ACC" w14:textId="593E7665" w:rsidR="00DB7C2B" w:rsidRPr="00C76985" w:rsidRDefault="00DB7C2B">
            <w:pPr>
              <w:jc w:val="center"/>
              <w:rPr>
                <w:szCs w:val="23"/>
              </w:rPr>
            </w:pPr>
            <w:r w:rsidRPr="00722267">
              <w:rPr>
                <w:szCs w:val="23"/>
              </w:rPr>
              <w:t>$</w:t>
            </w:r>
            <w:r w:rsidR="00722267" w:rsidRPr="00722267">
              <w:rPr>
                <w:szCs w:val="23"/>
              </w:rPr>
              <w:t>276</w:t>
            </w:r>
            <w:r w:rsidRPr="00722267">
              <w:rPr>
                <w:szCs w:val="23"/>
              </w:rPr>
              <w:t xml:space="preserve"> B</w:t>
            </w:r>
          </w:p>
        </w:tc>
      </w:tr>
      <w:tr w:rsidR="00D71211" w14:paraId="475355BB" w14:textId="77777777" w:rsidTr="002F742E">
        <w:trPr>
          <w:trHeight w:val="520"/>
        </w:trPr>
        <w:tc>
          <w:tcPr>
            <w:tcW w:w="1260" w:type="dxa"/>
            <w:shd w:val="clear" w:color="auto" w:fill="E7E6E6" w:themeFill="background2"/>
            <w:vAlign w:val="center"/>
          </w:tcPr>
          <w:p w14:paraId="539433BF" w14:textId="77777777" w:rsidR="00DB7C2B" w:rsidRPr="00FE18AB" w:rsidRDefault="00DB7C2B">
            <w:pPr>
              <w:jc w:val="center"/>
              <w:rPr>
                <w:szCs w:val="23"/>
              </w:rPr>
            </w:pPr>
            <w:r w:rsidRPr="00FE18AB">
              <w:rPr>
                <w:b/>
                <w:bCs/>
                <w:szCs w:val="23"/>
              </w:rPr>
              <w:t>Up-front cost</w:t>
            </w:r>
          </w:p>
        </w:tc>
        <w:tc>
          <w:tcPr>
            <w:tcW w:w="3420" w:type="dxa"/>
            <w:vAlign w:val="center"/>
          </w:tcPr>
          <w:p w14:paraId="77921B32" w14:textId="6B7F6A58" w:rsidR="00DB7C2B" w:rsidRPr="00FE18AB" w:rsidRDefault="00DB7C2B">
            <w:pPr>
              <w:jc w:val="center"/>
              <w:rPr>
                <w:szCs w:val="23"/>
              </w:rPr>
            </w:pPr>
            <w:r w:rsidRPr="00FE18AB">
              <w:rPr>
                <w:szCs w:val="23"/>
              </w:rPr>
              <w:t>$</w:t>
            </w:r>
            <w:r w:rsidR="00FE18AB" w:rsidRPr="00FE18AB">
              <w:rPr>
                <w:szCs w:val="23"/>
              </w:rPr>
              <w:t>3</w:t>
            </w:r>
            <w:r w:rsidRPr="00FE18AB">
              <w:rPr>
                <w:szCs w:val="23"/>
              </w:rPr>
              <w:t>.</w:t>
            </w:r>
            <w:r w:rsidR="00FE18AB" w:rsidRPr="00FE18AB">
              <w:rPr>
                <w:szCs w:val="23"/>
              </w:rPr>
              <w:t>85</w:t>
            </w:r>
            <w:r w:rsidRPr="00FE18AB">
              <w:rPr>
                <w:szCs w:val="23"/>
              </w:rPr>
              <w:t xml:space="preserve"> B</w:t>
            </w:r>
          </w:p>
        </w:tc>
        <w:tc>
          <w:tcPr>
            <w:tcW w:w="1260" w:type="dxa"/>
            <w:shd w:val="clear" w:color="auto" w:fill="E7E6E6" w:themeFill="background2"/>
            <w:vAlign w:val="center"/>
          </w:tcPr>
          <w:p w14:paraId="3B2A542F" w14:textId="77777777" w:rsidR="00DB7C2B" w:rsidRPr="001F4BCB" w:rsidRDefault="00DB7C2B">
            <w:pPr>
              <w:jc w:val="center"/>
              <w:rPr>
                <w:szCs w:val="23"/>
              </w:rPr>
            </w:pPr>
            <w:r w:rsidRPr="001F4BCB">
              <w:rPr>
                <w:b/>
                <w:bCs/>
                <w:szCs w:val="23"/>
              </w:rPr>
              <w:t>Up-front cost</w:t>
            </w:r>
          </w:p>
        </w:tc>
        <w:tc>
          <w:tcPr>
            <w:tcW w:w="3415" w:type="dxa"/>
            <w:vAlign w:val="center"/>
          </w:tcPr>
          <w:p w14:paraId="61EC750D" w14:textId="283BE347" w:rsidR="00DB7C2B" w:rsidRPr="00455AD5" w:rsidRDefault="00FE18AB">
            <w:pPr>
              <w:jc w:val="center"/>
              <w:rPr>
                <w:color w:val="FF0000"/>
                <w:szCs w:val="23"/>
              </w:rPr>
            </w:pPr>
            <w:r w:rsidRPr="00FE18AB">
              <w:rPr>
                <w:szCs w:val="23"/>
              </w:rPr>
              <w:t>$3.85 B</w:t>
            </w:r>
          </w:p>
        </w:tc>
      </w:tr>
      <w:tr w:rsidR="00D71211" w14:paraId="2DDDDFFE" w14:textId="77777777" w:rsidTr="002F742E">
        <w:trPr>
          <w:trHeight w:val="520"/>
        </w:trPr>
        <w:tc>
          <w:tcPr>
            <w:tcW w:w="1260" w:type="dxa"/>
            <w:shd w:val="clear" w:color="auto" w:fill="E7E6E6" w:themeFill="background2"/>
            <w:vAlign w:val="center"/>
          </w:tcPr>
          <w:p w14:paraId="630CB0E3" w14:textId="77777777" w:rsidR="00DB7C2B" w:rsidRPr="00FE18AB" w:rsidRDefault="00DB7C2B">
            <w:pPr>
              <w:jc w:val="center"/>
              <w:rPr>
                <w:szCs w:val="23"/>
              </w:rPr>
            </w:pPr>
            <w:r w:rsidRPr="00FE18AB">
              <w:rPr>
                <w:b/>
                <w:bCs/>
                <w:szCs w:val="23"/>
              </w:rPr>
              <w:t>Running cost</w:t>
            </w:r>
          </w:p>
        </w:tc>
        <w:tc>
          <w:tcPr>
            <w:tcW w:w="3420" w:type="dxa"/>
            <w:vAlign w:val="center"/>
          </w:tcPr>
          <w:p w14:paraId="78EAD904" w14:textId="656D6EDF" w:rsidR="00DB7C2B" w:rsidRPr="00FE18AB" w:rsidRDefault="00DB7C2B">
            <w:pPr>
              <w:jc w:val="center"/>
              <w:rPr>
                <w:szCs w:val="23"/>
              </w:rPr>
            </w:pPr>
            <w:r w:rsidRPr="00FE18AB">
              <w:rPr>
                <w:szCs w:val="23"/>
              </w:rPr>
              <w:t>$1</w:t>
            </w:r>
            <w:r w:rsidR="00FE18AB" w:rsidRPr="00FE18AB">
              <w:rPr>
                <w:szCs w:val="23"/>
              </w:rPr>
              <w:t>9</w:t>
            </w:r>
            <w:r w:rsidRPr="00FE18AB">
              <w:rPr>
                <w:szCs w:val="23"/>
              </w:rPr>
              <w:t>0 M/year</w:t>
            </w:r>
          </w:p>
        </w:tc>
        <w:tc>
          <w:tcPr>
            <w:tcW w:w="1260" w:type="dxa"/>
            <w:shd w:val="clear" w:color="auto" w:fill="E7E6E6" w:themeFill="background2"/>
            <w:vAlign w:val="center"/>
          </w:tcPr>
          <w:p w14:paraId="64946583" w14:textId="77777777" w:rsidR="00DB7C2B" w:rsidRPr="001F4BCB" w:rsidRDefault="00DB7C2B">
            <w:pPr>
              <w:jc w:val="center"/>
              <w:rPr>
                <w:szCs w:val="23"/>
              </w:rPr>
            </w:pPr>
            <w:r w:rsidRPr="001F4BCB">
              <w:rPr>
                <w:b/>
                <w:bCs/>
                <w:szCs w:val="23"/>
              </w:rPr>
              <w:t>Running cost</w:t>
            </w:r>
          </w:p>
        </w:tc>
        <w:tc>
          <w:tcPr>
            <w:tcW w:w="3415" w:type="dxa"/>
            <w:vAlign w:val="center"/>
          </w:tcPr>
          <w:p w14:paraId="2C07448F" w14:textId="1D0B01C1" w:rsidR="00DB7C2B" w:rsidRPr="00455AD5" w:rsidRDefault="00FE18AB">
            <w:pPr>
              <w:jc w:val="center"/>
              <w:rPr>
                <w:color w:val="FF0000"/>
                <w:szCs w:val="23"/>
              </w:rPr>
            </w:pPr>
            <w:r w:rsidRPr="00FE18AB">
              <w:rPr>
                <w:szCs w:val="23"/>
              </w:rPr>
              <w:t>$190 M/year</w:t>
            </w:r>
          </w:p>
        </w:tc>
      </w:tr>
    </w:tbl>
    <w:p w14:paraId="5B90BA15" w14:textId="77777777" w:rsidR="008B3EBB" w:rsidRDefault="005D7C8D" w:rsidP="008B3EBB">
      <w:pPr>
        <w:keepNext/>
      </w:pPr>
      <w:r>
        <w:rPr>
          <w:noProof/>
        </w:rPr>
        <w:drawing>
          <wp:inline distT="0" distB="0" distL="0" distR="0" wp14:anchorId="7CB7F461" wp14:editId="196E4F8D">
            <wp:extent cx="5943600" cy="2971800"/>
            <wp:effectExtent l="0" t="0" r="0" b="0"/>
            <wp:docPr id="1626807959" name="Picture 162680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07959" name="Picture 16268079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62C9964" w14:textId="77AECE40" w:rsidR="00E30F19" w:rsidRDefault="008B3EBB" w:rsidP="00F57452">
      <w:pPr>
        <w:pStyle w:val="Caption"/>
      </w:pPr>
      <w:r>
        <w:t xml:space="preserve">Figure </w:t>
      </w:r>
      <w:r>
        <w:fldChar w:fldCharType="begin"/>
      </w:r>
      <w:r>
        <w:instrText xml:space="preserve"> SEQ Figure \* ARABIC </w:instrText>
      </w:r>
      <w:r>
        <w:fldChar w:fldCharType="separate"/>
      </w:r>
      <w:r w:rsidR="001F0D0C">
        <w:rPr>
          <w:noProof/>
        </w:rPr>
        <w:t>8</w:t>
      </w:r>
      <w:r>
        <w:rPr>
          <w:noProof/>
        </w:rPr>
        <w:fldChar w:fldCharType="end"/>
      </w:r>
      <w:r>
        <w:t xml:space="preserve">: </w:t>
      </w:r>
      <w:r w:rsidRPr="006343F5">
        <w:t xml:space="preserve">Scaling of overall portfolio NPV as actions are added in </w:t>
      </w:r>
      <w:r>
        <w:t>constrained</w:t>
      </w:r>
      <w:r w:rsidRPr="006343F5">
        <w:t xml:space="preserve"> </w:t>
      </w:r>
      <w:r w:rsidR="00B608A7">
        <w:t>efficient</w:t>
      </w:r>
      <w:r w:rsidRPr="006343F5">
        <w:t xml:space="preserve"> rank orders (shown in Table </w:t>
      </w:r>
      <w:r w:rsidR="005F0528">
        <w:t>6</w:t>
      </w:r>
      <w:r w:rsidRPr="006343F5">
        <w:t>). The red line shows scaling under Model 1, the blue line shows scaling under Model 2. Portfolio NPVs are expressed as fractions of the NPV of</w:t>
      </w:r>
      <w:r>
        <w:t xml:space="preserve"> the </w:t>
      </w:r>
      <w:r w:rsidR="001F3F3E">
        <w:t xml:space="preserve">constrained </w:t>
      </w:r>
      <w:r w:rsidR="00B608A7">
        <w:t>efficient</w:t>
      </w:r>
      <w:r w:rsidR="001F3F3E">
        <w:t xml:space="preserve"> portfolio</w:t>
      </w:r>
      <w:r w:rsidR="00F57452">
        <w:t>s.</w:t>
      </w:r>
    </w:p>
    <w:p w14:paraId="2713B9AF" w14:textId="222C39F0" w:rsidR="00B77B44" w:rsidRDefault="00B77B44" w:rsidP="00B77B44">
      <w:pPr>
        <w:pStyle w:val="Heading2"/>
      </w:pPr>
      <w:bookmarkStart w:id="17" w:name="_Toc192166305"/>
      <w:r w:rsidRPr="00BC17CA">
        <w:lastRenderedPageBreak/>
        <w:t>Robustness to delays</w:t>
      </w:r>
      <w:bookmarkEnd w:id="17"/>
    </w:p>
    <w:p w14:paraId="3413791B" w14:textId="4F80CDF9" w:rsidR="005D1C83" w:rsidRDefault="005D1C83" w:rsidP="00C645D9">
      <w:r>
        <w:t>As mentioned, we assess the baseline results presented above assuming 10-year time-to-value for all actions</w:t>
      </w:r>
      <w:r w:rsidR="00AD1331">
        <w:t>.</w:t>
      </w:r>
      <w:r>
        <w:t xml:space="preserve"> This is likely uniformly conservative, though may be more so for some actions than others.</w:t>
      </w:r>
      <w:r w:rsidR="00AD1331">
        <w:t xml:space="preserve"> </w:t>
      </w:r>
      <w:r>
        <w:t xml:space="preserve">We therefore assess the sensitivity of our conclusions to this assumption by individually varying </w:t>
      </w:r>
      <w:r w:rsidR="000D382D">
        <w:t xml:space="preserve">the time-to-value for each action from 10 to 0 years (i.e., immediate implementation) and measuring the </w:t>
      </w:r>
      <w:r w:rsidR="00427747">
        <w:t xml:space="preserve">average </w:t>
      </w:r>
      <w:r w:rsidR="000D382D">
        <w:t xml:space="preserve">change in </w:t>
      </w:r>
      <w:r w:rsidR="00427747">
        <w:t>portfolio NPV due to a 1-year reduction in the time-to-value of an individual action.</w:t>
      </w:r>
    </w:p>
    <w:p w14:paraId="6793EEEC" w14:textId="7A6D4403" w:rsidR="00233E84" w:rsidRDefault="00233E84" w:rsidP="00C645D9">
      <w:r>
        <w:t xml:space="preserve">Reducing the time-to-value </w:t>
      </w:r>
      <w:r w:rsidR="00FB7645">
        <w:t>affects the value of a portfolio through two channels</w:t>
      </w:r>
      <w:r>
        <w:t>:</w:t>
      </w:r>
    </w:p>
    <w:p w14:paraId="5E257912" w14:textId="416946D0" w:rsidR="008C05B1" w:rsidRDefault="008C05B1" w:rsidP="008C05B1">
      <w:pPr>
        <w:pStyle w:val="ListParagraph"/>
        <w:numPr>
          <w:ilvl w:val="0"/>
          <w:numId w:val="33"/>
        </w:numPr>
      </w:pPr>
      <w:r w:rsidRPr="00497F66">
        <w:rPr>
          <w:b/>
          <w:bCs/>
        </w:rPr>
        <w:t>The benefits begin accruing sooner.</w:t>
      </w:r>
      <w:r>
        <w:t xml:space="preserve"> This is perhaps the most intuitive effect</w:t>
      </w:r>
      <w:r w:rsidR="00CD09F4">
        <w:t xml:space="preserve"> and</w:t>
      </w:r>
      <w:r w:rsidR="00587D0E">
        <w:t xml:space="preserve"> will in general result in greater </w:t>
      </w:r>
      <w:r w:rsidR="00CD09F4">
        <w:t xml:space="preserve">estimated </w:t>
      </w:r>
      <w:r w:rsidR="00587D0E">
        <w:t>benefits</w:t>
      </w:r>
      <w:r w:rsidR="00301E3E">
        <w:t xml:space="preserve"> since the risks are reduced sooner. It may however result in lowe</w:t>
      </w:r>
      <w:r w:rsidR="0062662D">
        <w:t>r</w:t>
      </w:r>
      <w:r w:rsidR="00301E3E">
        <w:t xml:space="preserve"> estimated benefits</w:t>
      </w:r>
      <w:r w:rsidR="0062662D">
        <w:t xml:space="preserve">, if the baseline case has lower risk. That is, since the measurement of benefits is </w:t>
      </w:r>
      <w:r w:rsidR="0062662D">
        <w:rPr>
          <w:i/>
          <w:iCs/>
        </w:rPr>
        <w:t>relative to a world w</w:t>
      </w:r>
      <w:r w:rsidR="00643503">
        <w:rPr>
          <w:i/>
          <w:iCs/>
        </w:rPr>
        <w:t>here</w:t>
      </w:r>
      <w:r w:rsidR="0062662D">
        <w:rPr>
          <w:i/>
          <w:iCs/>
        </w:rPr>
        <w:t xml:space="preserve"> no actions</w:t>
      </w:r>
      <w:r w:rsidR="00643503">
        <w:rPr>
          <w:i/>
          <w:iCs/>
        </w:rPr>
        <w:t xml:space="preserve"> are taken</w:t>
      </w:r>
      <w:r w:rsidR="0062662D">
        <w:t xml:space="preserve">, the benefits of </w:t>
      </w:r>
      <w:r w:rsidR="00643503">
        <w:t>implementing an action will depend on how much risk is reduced.</w:t>
      </w:r>
    </w:p>
    <w:p w14:paraId="531F51B7" w14:textId="3138CB1B" w:rsidR="00497F66" w:rsidRDefault="00497F66" w:rsidP="008C05B1">
      <w:pPr>
        <w:pStyle w:val="ListParagraph"/>
        <w:numPr>
          <w:ilvl w:val="0"/>
          <w:numId w:val="33"/>
        </w:numPr>
      </w:pPr>
      <w:r>
        <w:rPr>
          <w:b/>
          <w:bCs/>
        </w:rPr>
        <w:t>The costs are compressed.</w:t>
      </w:r>
      <w:r w:rsidR="004F476E">
        <w:t xml:space="preserve"> The up-front costs are incurred over a shorter period, and the running costs begin accruing sooner. </w:t>
      </w:r>
      <w:r w:rsidR="002F7344">
        <w:t xml:space="preserve">Without discounting the former would not matter and the latter would </w:t>
      </w:r>
      <w:r w:rsidR="005C49A4">
        <w:t>only result in</w:t>
      </w:r>
      <w:r w:rsidR="002F7344">
        <w:t xml:space="preserve"> a few extra years of running costs (i.e., </w:t>
      </w:r>
      <w:r w:rsidR="005C49A4">
        <w:t xml:space="preserve">over a 25-year analysis period beginning operations 5 years sooner would mean 5 extra years of running costs). With discounting, however, </w:t>
      </w:r>
      <w:r w:rsidR="008918F5">
        <w:t xml:space="preserve">the present value of the up-front costs mechanically increases since they are spread over fewer years. The same effect mechanically increases the present value of the running costs. The net effect is that accelerating the time-to-value </w:t>
      </w:r>
      <w:r w:rsidR="002022E2">
        <w:t>will tend to increase the present value of up-front and running costs.</w:t>
      </w:r>
      <w:r w:rsidR="00FA1EC6">
        <w:t xml:space="preserve"> This can be seen in </w:t>
      </w:r>
      <w:r w:rsidR="00E30435">
        <w:t>F</w:t>
      </w:r>
      <w:r w:rsidR="00FA1EC6">
        <w:t xml:space="preserve">igure </w:t>
      </w:r>
      <w:r w:rsidR="00E30435">
        <w:t>9</w:t>
      </w:r>
      <w:r w:rsidR="00F149B6">
        <w:t xml:space="preserve"> below</w:t>
      </w:r>
      <w:r w:rsidR="00FA1EC6">
        <w:t>: extending the TTV reduces the area under the curve of the discounted costs.</w:t>
      </w:r>
      <w:r w:rsidR="0069739C">
        <w:rPr>
          <w:rStyle w:val="FootnoteReference"/>
        </w:rPr>
        <w:footnoteReference w:id="9"/>
      </w:r>
    </w:p>
    <w:p w14:paraId="10B126C0" w14:textId="08C0B8C7" w:rsidR="00F149B6" w:rsidRDefault="00F149B6" w:rsidP="00CD0A25"/>
    <w:p w14:paraId="5C7D26A0" w14:textId="77777777" w:rsidR="003E23B3" w:rsidRDefault="00D826B8" w:rsidP="003E23B3">
      <w:pPr>
        <w:keepNext/>
      </w:pPr>
      <w:r>
        <w:rPr>
          <w:noProof/>
        </w:rPr>
        <w:lastRenderedPageBreak/>
        <w:drawing>
          <wp:inline distT="0" distB="0" distL="0" distR="0" wp14:anchorId="29215E62" wp14:editId="39E35B6E">
            <wp:extent cx="5943600" cy="2971800"/>
            <wp:effectExtent l="0" t="0" r="0" b="0"/>
            <wp:docPr id="2034192776" name="Picture 203419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92776" name="Picture 20341927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8415F77" w14:textId="40E0CD2E" w:rsidR="00142A30" w:rsidRDefault="003E23B3" w:rsidP="00CA10CF">
      <w:pPr>
        <w:pStyle w:val="Caption"/>
      </w:pPr>
      <w:r>
        <w:t xml:space="preserve">Figure </w:t>
      </w:r>
      <w:r>
        <w:fldChar w:fldCharType="begin"/>
      </w:r>
      <w:r>
        <w:instrText xml:space="preserve"> SEQ Figure \* ARABIC </w:instrText>
      </w:r>
      <w:r>
        <w:fldChar w:fldCharType="separate"/>
      </w:r>
      <w:r w:rsidR="001F0D0C">
        <w:rPr>
          <w:noProof/>
        </w:rPr>
        <w:t>9</w:t>
      </w:r>
      <w:r>
        <w:rPr>
          <w:noProof/>
        </w:rPr>
        <w:fldChar w:fldCharType="end"/>
      </w:r>
      <w:r>
        <w:t xml:space="preserve">: </w:t>
      </w:r>
      <w:r w:rsidR="00CA10CF">
        <w:t>“Cost compression” e</w:t>
      </w:r>
      <w:r>
        <w:t>ffects of changing TTV from 10 to 5 years, with and without discounting. The shaded orange area shows the additional present value of cost incurred with a shorter TTV</w:t>
      </w:r>
      <w:r w:rsidR="00CA10CF">
        <w:t xml:space="preserve"> assuming the analysis horizon is fixed at a finite value</w:t>
      </w:r>
      <w:r>
        <w:t>.</w:t>
      </w:r>
    </w:p>
    <w:p w14:paraId="1B2C9A11" w14:textId="0D405DE5" w:rsidR="00CD0A25" w:rsidRDefault="005605E2" w:rsidP="00581647">
      <w:pPr>
        <w:ind w:firstLine="360"/>
      </w:pPr>
      <w:r>
        <w:t xml:space="preserve">Whether the net effect of reducing the time-to-value is to increase or decrease the NPV of any given action will depend on the nature of the benefits it provides (e.g., </w:t>
      </w:r>
      <w:r w:rsidR="00C70A33">
        <w:t xml:space="preserve">whether it addresses </w:t>
      </w:r>
      <w:r>
        <w:t>risks that are prevalent now or</w:t>
      </w:r>
      <w:r w:rsidR="00C70A33">
        <w:t xml:space="preserve"> are</w:t>
      </w:r>
      <w:r>
        <w:t xml:space="preserve"> likely to be prevalent in a few years along a business-as-usual path)</w:t>
      </w:r>
      <w:r w:rsidR="00142A30">
        <w:t>, the magnitude of the benefits,</w:t>
      </w:r>
      <w:r w:rsidR="00085B8E">
        <w:t xml:space="preserve"> and the magnitudes of costs involved (e.g., </w:t>
      </w:r>
      <w:r w:rsidR="00C70A33">
        <w:t>the degree to which it requires</w:t>
      </w:r>
      <w:r w:rsidR="00085B8E">
        <w:t xml:space="preserve"> up-front investment that would be</w:t>
      </w:r>
      <w:r w:rsidR="001C6C4E">
        <w:t xml:space="preserve"> more</w:t>
      </w:r>
      <w:r w:rsidR="00085B8E">
        <w:t xml:space="preserve"> convenient to budget for over an extended duration)</w:t>
      </w:r>
      <w:r w:rsidR="00C70A33">
        <w:t xml:space="preserve">. </w:t>
      </w:r>
      <w:r w:rsidR="003E7278">
        <w:t>We therefore calculate</w:t>
      </w:r>
      <w:r w:rsidR="003D367E">
        <w:t xml:space="preserve"> the effect of reducing TTV for each action in the </w:t>
      </w:r>
      <w:r w:rsidR="00B608A7">
        <w:t>efficient</w:t>
      </w:r>
      <w:r w:rsidR="003D367E">
        <w:t xml:space="preserve"> portfolio from 10 years to 0 years, and from that effect calculate the average change in</w:t>
      </w:r>
      <w:r w:rsidR="00752C39">
        <w:t xml:space="preserve"> overall portfolio</w:t>
      </w:r>
      <w:r w:rsidR="003D367E">
        <w:t xml:space="preserve"> NPV</w:t>
      </w:r>
      <w:r w:rsidR="00752C39">
        <w:t xml:space="preserve"> and the PV of benefits</w:t>
      </w:r>
      <w:r w:rsidR="003D367E">
        <w:t xml:space="preserve"> from a 1-year reduction in TTV. </w:t>
      </w:r>
      <w:r w:rsidR="00752C39">
        <w:t xml:space="preserve">The change in overall portfolio NPV </w:t>
      </w:r>
      <w:r w:rsidR="00FB7645">
        <w:t>is informative about the combination of both channels described above, while the change in the PV of benefits the portfolio delivers isolates the first channel.</w:t>
      </w:r>
    </w:p>
    <w:p w14:paraId="37F25681" w14:textId="48776317" w:rsidR="003E7278" w:rsidRDefault="003A3E78" w:rsidP="00581647">
      <w:pPr>
        <w:ind w:firstLine="360"/>
      </w:pPr>
      <w:r>
        <w:t xml:space="preserve">Figure </w:t>
      </w:r>
      <w:r w:rsidR="00E30435">
        <w:t>10</w:t>
      </w:r>
      <w:r>
        <w:t xml:space="preserve"> shows the effect of reducing TTV by 1 year</w:t>
      </w:r>
      <w:r w:rsidR="009628C2">
        <w:t>, rounded to the nearest $10</w:t>
      </w:r>
      <w:r w:rsidR="00293CBC">
        <w:t>0</w:t>
      </w:r>
      <w:r w:rsidR="009628C2">
        <w:t xml:space="preserve"> </w:t>
      </w:r>
      <w:r w:rsidR="00293CBC">
        <w:t>M</w:t>
      </w:r>
      <w:r w:rsidR="2DB295F2">
        <w:t xml:space="preserve">, on the NPV of the unconstrained </w:t>
      </w:r>
      <w:r w:rsidR="007D7D43">
        <w:t>efficient</w:t>
      </w:r>
      <w:r w:rsidR="2DB295F2">
        <w:t xml:space="preserve"> portfolio</w:t>
      </w:r>
      <w:r>
        <w:t xml:space="preserve">. Interestingly, </w:t>
      </w:r>
      <w:r w:rsidR="00C0617F">
        <w:t xml:space="preserve">while the largest effects are indeed in the top-ranked actions, in general the ranking of sensitivities to TTV reductions doesn’t match </w:t>
      </w:r>
      <w:r w:rsidR="009628C2">
        <w:t xml:space="preserve">the ranking of actions (either in the </w:t>
      </w:r>
      <w:r w:rsidR="4A5B60E5">
        <w:t xml:space="preserve">unconstrained </w:t>
      </w:r>
      <w:r w:rsidR="007D7D43">
        <w:t>efficient</w:t>
      </w:r>
      <w:r w:rsidR="009628C2">
        <w:t xml:space="preserve"> portfolio</w:t>
      </w:r>
      <w:r w:rsidR="33D913A8">
        <w:t>s</w:t>
      </w:r>
      <w:r w:rsidR="009628C2">
        <w:t xml:space="preserve"> or even individually). </w:t>
      </w:r>
      <w:r w:rsidR="00293CBC">
        <w:t xml:space="preserve">Model 2 generally predicts lower benefits than Model 1, so it is perhaps not surprising that </w:t>
      </w:r>
      <w:r w:rsidR="001D222C">
        <w:t xml:space="preserve">Model 2 shows some actions having negative NPV changes from a marginal year TTV reduction. Note that the estimated effects are averaged over a 10-year TTV reduction – it is possible that </w:t>
      </w:r>
      <w:r w:rsidR="00AE389D">
        <w:t>the effects only become negative at some threshold TTV reduction where the gain in</w:t>
      </w:r>
      <w:r w:rsidR="001C28C5">
        <w:t xml:space="preserve"> terms of</w:t>
      </w:r>
      <w:r w:rsidR="00AE389D">
        <w:t xml:space="preserve"> PV benefits matches the loss in</w:t>
      </w:r>
      <w:r w:rsidR="001C28C5">
        <w:t xml:space="preserve"> terms of</w:t>
      </w:r>
      <w:r w:rsidR="00AE389D">
        <w:t xml:space="preserve"> compressed PV costs.</w:t>
      </w:r>
    </w:p>
    <w:p w14:paraId="5396C986" w14:textId="77777777" w:rsidR="00AF7664" w:rsidRDefault="00B46F9B" w:rsidP="00AF7664">
      <w:pPr>
        <w:keepNext/>
      </w:pPr>
      <w:r>
        <w:rPr>
          <w:noProof/>
        </w:rPr>
        <w:lastRenderedPageBreak/>
        <w:drawing>
          <wp:inline distT="0" distB="0" distL="0" distR="0" wp14:anchorId="1D433E34" wp14:editId="0A9836B3">
            <wp:extent cx="5943600" cy="3734512"/>
            <wp:effectExtent l="0" t="0" r="0" b="0"/>
            <wp:docPr id="1686587722" name="Picture 168658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87722" name="Picture 1686587722"/>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3600" cy="3734512"/>
                    </a:xfrm>
                    <a:prstGeom prst="rect">
                      <a:avLst/>
                    </a:prstGeom>
                    <a:ln>
                      <a:noFill/>
                    </a:ln>
                    <a:extLst>
                      <a:ext uri="{53640926-AAD7-44D8-BBD7-CCE9431645EC}">
                        <a14:shadowObscured xmlns:a14="http://schemas.microsoft.com/office/drawing/2010/main"/>
                      </a:ext>
                    </a:extLst>
                  </pic:spPr>
                </pic:pic>
              </a:graphicData>
            </a:graphic>
          </wp:inline>
        </w:drawing>
      </w:r>
    </w:p>
    <w:p w14:paraId="5B039D9F" w14:textId="5507D688" w:rsidR="00EE2064" w:rsidRDefault="00AF7664" w:rsidP="00AF7664">
      <w:pPr>
        <w:pStyle w:val="Caption"/>
      </w:pPr>
      <w:r>
        <w:t xml:space="preserve">Figure </w:t>
      </w:r>
      <w:r>
        <w:fldChar w:fldCharType="begin"/>
      </w:r>
      <w:r>
        <w:instrText xml:space="preserve"> SEQ Figure \* ARABIC </w:instrText>
      </w:r>
      <w:r>
        <w:fldChar w:fldCharType="separate"/>
      </w:r>
      <w:r w:rsidR="001F0D0C">
        <w:rPr>
          <w:noProof/>
        </w:rPr>
        <w:t>10</w:t>
      </w:r>
      <w:r>
        <w:rPr>
          <w:noProof/>
        </w:rPr>
        <w:fldChar w:fldCharType="end"/>
      </w:r>
      <w:r>
        <w:t xml:space="preserve">: Change in NPV of </w:t>
      </w:r>
      <w:r w:rsidR="007637AB">
        <w:t xml:space="preserve">the </w:t>
      </w:r>
      <w:r>
        <w:t xml:space="preserve">unconstrained </w:t>
      </w:r>
      <w:r w:rsidR="007D7D43">
        <w:t>efficient</w:t>
      </w:r>
      <w:r>
        <w:t xml:space="preserve"> portfolio (calculated under 10-year TTV) from reducing the TTV of individual actions by 1 year.</w:t>
      </w:r>
    </w:p>
    <w:p w14:paraId="7D8BAE5E" w14:textId="2821B90F" w:rsidR="00F76964" w:rsidRDefault="001C28C5" w:rsidP="00581647">
      <w:pPr>
        <w:ind w:firstLine="360"/>
      </w:pPr>
      <w:r>
        <w:t xml:space="preserve">Figure </w:t>
      </w:r>
      <w:r w:rsidR="00E30435">
        <w:t>11</w:t>
      </w:r>
      <w:r>
        <w:t xml:space="preserve"> plots the sensitivity of the PV benefits to </w:t>
      </w:r>
      <w:r w:rsidR="00086ED4">
        <w:t>marginal year TTV reductions to assess this. As might be intuitively expected, all of these changes are positive</w:t>
      </w:r>
      <w:r w:rsidR="007908DD">
        <w:t xml:space="preserve">. However, </w:t>
      </w:r>
      <w:r w:rsidR="00EE2064">
        <w:t xml:space="preserve">aside from the top-ranked options, </w:t>
      </w:r>
      <w:r w:rsidR="007908DD">
        <w:t>the ranking of PV benefits sensitivities differs from the ranking of</w:t>
      </w:r>
      <w:r w:rsidR="00086ED4">
        <w:t xml:space="preserve"> </w:t>
      </w:r>
      <w:r w:rsidR="007908DD">
        <w:t>NPV sensitivities.</w:t>
      </w:r>
      <w:r w:rsidR="00EE2064">
        <w:t xml:space="preserve"> This makes sense since, as seen in Table </w:t>
      </w:r>
      <w:r w:rsidR="008F111F">
        <w:t>3</w:t>
      </w:r>
      <w:r w:rsidR="00161E91">
        <w:t xml:space="preserve"> </w:t>
      </w:r>
      <w:r w:rsidR="00EE2064">
        <w:t xml:space="preserve">and Figure </w:t>
      </w:r>
      <w:r w:rsidR="00161E91">
        <w:t>4</w:t>
      </w:r>
      <w:r w:rsidR="00EE2064">
        <w:t xml:space="preserve">, the </w:t>
      </w:r>
      <w:r w:rsidR="008F111F">
        <w:t xml:space="preserve">order </w:t>
      </w:r>
      <w:r w:rsidR="00EE2064">
        <w:t xml:space="preserve">of </w:t>
      </w:r>
      <w:r w:rsidR="008F111F">
        <w:t>costs</w:t>
      </w:r>
      <w:r w:rsidR="00F94386">
        <w:t xml:space="preserve"> </w:t>
      </w:r>
      <w:r w:rsidR="00694764">
        <w:t xml:space="preserve">does not generally match the ranking of individual benefits or prioritization in the </w:t>
      </w:r>
      <w:r w:rsidR="007D7D43">
        <w:t>efficient</w:t>
      </w:r>
      <w:r w:rsidR="00694764">
        <w:t xml:space="preserve"> portfolio. </w:t>
      </w:r>
      <w:r w:rsidR="00815D4D">
        <w:t>This is particularly pronounced under Model 2, where Laser JCA is rank 4 in the magnitude of PV benefits from reducing TTV by a marginal year but last (</w:t>
      </w:r>
      <w:r w:rsidR="00D22C10">
        <w:t>in fact</w:t>
      </w:r>
      <w:r w:rsidR="00815D4D">
        <w:t xml:space="preserve"> negative) in the magnitude of NPV from reducing TTV by a marginal year. This </w:t>
      </w:r>
      <w:r w:rsidR="00225CC2">
        <w:t xml:space="preserve">is reasonable since Laser JCA has significant up-front costs which </w:t>
      </w:r>
      <w:r w:rsidR="00D22C10">
        <w:t>would be convenient to spread over a longer duration.</w:t>
      </w:r>
      <w:r w:rsidR="00365610">
        <w:t xml:space="preserve"> Indeed, the comparison between Figures </w:t>
      </w:r>
      <w:r w:rsidR="00A95D26">
        <w:t>4</w:t>
      </w:r>
      <w:r w:rsidR="004B79FB">
        <w:t xml:space="preserve">, </w:t>
      </w:r>
      <w:r w:rsidR="00E30435">
        <w:t>10</w:t>
      </w:r>
      <w:r w:rsidR="004B79FB">
        <w:t xml:space="preserve">, and </w:t>
      </w:r>
      <w:r w:rsidR="00E30435">
        <w:t>11</w:t>
      </w:r>
      <w:r w:rsidR="004B79FB">
        <w:t xml:space="preserve">, as well as Table </w:t>
      </w:r>
      <w:r w:rsidR="00A95D26">
        <w:t>5</w:t>
      </w:r>
      <w:r w:rsidR="004B79FB">
        <w:t>,</w:t>
      </w:r>
      <w:r w:rsidR="00365610">
        <w:t xml:space="preserve"> reveal that </w:t>
      </w:r>
      <w:r w:rsidR="004B79FB">
        <w:t xml:space="preserve">the amortization period is likely a critical </w:t>
      </w:r>
      <w:r w:rsidR="00D62CD8">
        <w:t>factor</w:t>
      </w:r>
      <w:r w:rsidR="004B79FB">
        <w:t xml:space="preserve"> in determining </w:t>
      </w:r>
      <w:r w:rsidR="00D62CD8">
        <w:t xml:space="preserve">the value or even presence of Laser JCA and Passivation in the </w:t>
      </w:r>
      <w:r w:rsidR="007D7D43">
        <w:t>efficient</w:t>
      </w:r>
      <w:r w:rsidR="00D62CD8">
        <w:t xml:space="preserve"> portfolio.</w:t>
      </w:r>
      <w:r w:rsidR="00737D49">
        <w:rPr>
          <w:rStyle w:val="FootnoteReference"/>
        </w:rPr>
        <w:footnoteReference w:id="10"/>
      </w:r>
    </w:p>
    <w:p w14:paraId="048D7FD4" w14:textId="77777777" w:rsidR="007637AB" w:rsidRDefault="00B46F9B" w:rsidP="007637AB">
      <w:pPr>
        <w:keepNext/>
      </w:pPr>
      <w:r>
        <w:rPr>
          <w:noProof/>
        </w:rPr>
        <w:lastRenderedPageBreak/>
        <w:drawing>
          <wp:inline distT="0" distB="0" distL="0" distR="0" wp14:anchorId="51A2D38F" wp14:editId="13B46520">
            <wp:extent cx="5943600" cy="3717420"/>
            <wp:effectExtent l="0" t="0" r="0" b="3810"/>
            <wp:docPr id="1820697212" name="Picture 182069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97212" name="Picture 1820697212"/>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943600" cy="3717420"/>
                    </a:xfrm>
                    <a:prstGeom prst="rect">
                      <a:avLst/>
                    </a:prstGeom>
                    <a:ln>
                      <a:noFill/>
                    </a:ln>
                    <a:extLst>
                      <a:ext uri="{53640926-AAD7-44D8-BBD7-CCE9431645EC}">
                        <a14:shadowObscured xmlns:a14="http://schemas.microsoft.com/office/drawing/2010/main"/>
                      </a:ext>
                    </a:extLst>
                  </pic:spPr>
                </pic:pic>
              </a:graphicData>
            </a:graphic>
          </wp:inline>
        </w:drawing>
      </w:r>
    </w:p>
    <w:p w14:paraId="6C01591B" w14:textId="577C772D" w:rsidR="00B46F9B" w:rsidRDefault="007637AB" w:rsidP="00581647">
      <w:pPr>
        <w:pStyle w:val="Caption"/>
      </w:pPr>
      <w:r>
        <w:t xml:space="preserve">Figure </w:t>
      </w:r>
      <w:r w:rsidR="00BC62B9">
        <w:fldChar w:fldCharType="begin"/>
      </w:r>
      <w:r w:rsidR="00BC62B9">
        <w:rPr>
          <w:i w:val="0"/>
          <w:iCs w:val="0"/>
        </w:rPr>
        <w:instrText xml:space="preserve"> SEQ Figure \* ARABIC </w:instrText>
      </w:r>
      <w:r w:rsidR="00BC62B9">
        <w:fldChar w:fldCharType="separate"/>
      </w:r>
      <w:r w:rsidR="001F0D0C">
        <w:rPr>
          <w:i w:val="0"/>
          <w:iCs w:val="0"/>
          <w:noProof/>
        </w:rPr>
        <w:t>11</w:t>
      </w:r>
      <w:r w:rsidR="00BC62B9">
        <w:rPr>
          <w:noProof/>
        </w:rPr>
        <w:fldChar w:fldCharType="end"/>
      </w:r>
      <w:r>
        <w:t xml:space="preserve">: </w:t>
      </w:r>
      <w:r w:rsidRPr="00AF6336">
        <w:t>Change in PV</w:t>
      </w:r>
      <w:r>
        <w:t xml:space="preserve"> of benefits</w:t>
      </w:r>
      <w:r w:rsidRPr="00AF6336">
        <w:t xml:space="preserve"> </w:t>
      </w:r>
      <w:r>
        <w:t>of the</w:t>
      </w:r>
      <w:r w:rsidRPr="00AF6336">
        <w:t xml:space="preserve"> unconstrained </w:t>
      </w:r>
      <w:r w:rsidR="007D7D43">
        <w:t>efficient</w:t>
      </w:r>
      <w:r w:rsidRPr="00AF6336">
        <w:t xml:space="preserve"> portfolio (calculated under 10-year TTV) from reducing the TTV of individual actions by 1 year.</w:t>
      </w:r>
    </w:p>
    <w:p w14:paraId="34E38D97" w14:textId="2B425745" w:rsidR="008D3B9B" w:rsidRDefault="008D3B9B" w:rsidP="00581647">
      <w:pPr>
        <w:ind w:firstLine="360"/>
      </w:pPr>
      <w:r>
        <w:t>Finally, to assess how sensitive the</w:t>
      </w:r>
      <w:r w:rsidR="007B6B6A">
        <w:t xml:space="preserve"> </w:t>
      </w:r>
      <w:r w:rsidR="003F141D">
        <w:t>unconstrained</w:t>
      </w:r>
      <w:r>
        <w:t xml:space="preserve"> </w:t>
      </w:r>
      <w:r w:rsidR="007D7D43">
        <w:t>efficient</w:t>
      </w:r>
      <w:r>
        <w:t xml:space="preserve"> portfolio is to </w:t>
      </w:r>
      <w:r w:rsidR="00C6421F">
        <w:t>acceleration of multiple actions</w:t>
      </w:r>
      <w:r w:rsidR="007B6B6A">
        <w:t xml:space="preserve">, we compute the </w:t>
      </w:r>
      <w:r w:rsidR="00C6421F">
        <w:t xml:space="preserve">unconstrained </w:t>
      </w:r>
      <w:r w:rsidR="007D7D43">
        <w:t>efficient</w:t>
      </w:r>
      <w:r w:rsidR="00C6421F">
        <w:t xml:space="preserve"> portfolio assuming all actions begin delivering benefits immediately, i.e., under a 0-year TTV.</w:t>
      </w:r>
      <w:r w:rsidR="00DB4726">
        <w:t xml:space="preserve"> All values are rounded up to the nearest ten million dollars.</w:t>
      </w:r>
    </w:p>
    <w:p w14:paraId="64E2007E" w14:textId="3D4CBD9E" w:rsidR="00DB7C2B" w:rsidRDefault="00DB7C2B" w:rsidP="00581647">
      <w:pPr>
        <w:ind w:firstLine="360"/>
      </w:pPr>
      <w:r>
        <w:t xml:space="preserve">With 0-year TTVs across the board the models no longer agree on the </w:t>
      </w:r>
      <w:r w:rsidR="007D7D43">
        <w:t>efficient</w:t>
      </w:r>
      <w:r>
        <w:t xml:space="preserve"> portfolios, though they do still agree on some actions. They also do not agree on the size of the </w:t>
      </w:r>
      <w:r w:rsidR="007D7D43">
        <w:t>efficient</w:t>
      </w:r>
      <w:r>
        <w:t xml:space="preserve"> portfolios: Model 1 suggests including more actions, and more expensive actions, than Model 2. Both models continue to agree that millimeter debris is worth protecting against and that 0-year PMD is better than 5-year PMD. However, while they agree that some forms of improved tracking and debris remediation are worth investing in, they disagree on what those forms ought to be. Model 1 suggests investing in a more comprehensive tracking system and using Laser JCA to address risk from large objects. Model 2 suggests simply reducing uncertainty in the orbits of large objects is sufficient and prioritizes removing centimeter-size objects – the </w:t>
      </w:r>
      <w:r>
        <w:lastRenderedPageBreak/>
        <w:t xml:space="preserve">same objects Model 1 would prefer to track. Model 1 also suggests </w:t>
      </w:r>
      <w:r w:rsidR="00AA2A53">
        <w:t>additional</w:t>
      </w:r>
      <w:r>
        <w:t xml:space="preserve"> passivation is a worthwhile investment.</w:t>
      </w:r>
      <w:r>
        <w:rPr>
          <w:rStyle w:val="FootnoteReference"/>
        </w:rPr>
        <w:footnoteReference w:id="11"/>
      </w:r>
    </w:p>
    <w:p w14:paraId="346D5327" w14:textId="77777777" w:rsidR="00DB7C2B" w:rsidRDefault="00DB7C2B" w:rsidP="00B46F9B"/>
    <w:p w14:paraId="075C2C19" w14:textId="4EE11446" w:rsidR="00322A0F" w:rsidRDefault="00322A0F" w:rsidP="00322A0F">
      <w:pPr>
        <w:pStyle w:val="Caption"/>
        <w:keepNext/>
      </w:pPr>
      <w:r>
        <w:t xml:space="preserve">Table </w:t>
      </w:r>
      <w:r>
        <w:fldChar w:fldCharType="begin"/>
      </w:r>
      <w:r>
        <w:instrText xml:space="preserve"> SEQ Table \* ARABIC </w:instrText>
      </w:r>
      <w:r>
        <w:fldChar w:fldCharType="separate"/>
      </w:r>
      <w:r w:rsidR="001F0D0C">
        <w:rPr>
          <w:noProof/>
        </w:rPr>
        <w:t>7</w:t>
      </w:r>
      <w:r>
        <w:rPr>
          <w:noProof/>
        </w:rPr>
        <w:fldChar w:fldCharType="end"/>
      </w:r>
      <w:r>
        <w:t xml:space="preserve">: </w:t>
      </w:r>
      <w:r w:rsidR="007D7D43">
        <w:t>Efficient</w:t>
      </w:r>
      <w:r w:rsidRPr="00053E0A">
        <w:t xml:space="preserve"> portfolios with no constraints on which actions are chosen</w:t>
      </w:r>
      <w:r>
        <w:t xml:space="preserve"> </w:t>
      </w:r>
      <w:r w:rsidR="008E2465">
        <w:t>assuming 0-year TTV</w:t>
      </w:r>
      <w:r w:rsidRPr="00053E0A">
        <w:t>.</w:t>
      </w:r>
    </w:p>
    <w:tbl>
      <w:tblPr>
        <w:tblStyle w:val="TableGrid"/>
        <w:tblW w:w="0" w:type="auto"/>
        <w:tblInd w:w="-5" w:type="dxa"/>
        <w:tblLayout w:type="fixed"/>
        <w:tblLook w:val="04A0" w:firstRow="1" w:lastRow="0" w:firstColumn="1" w:lastColumn="0" w:noHBand="0" w:noVBand="1"/>
      </w:tblPr>
      <w:tblGrid>
        <w:gridCol w:w="1260"/>
        <w:gridCol w:w="3420"/>
        <w:gridCol w:w="1260"/>
        <w:gridCol w:w="3415"/>
      </w:tblGrid>
      <w:tr w:rsidR="00080B62" w14:paraId="1D7B9171" w14:textId="77777777">
        <w:trPr>
          <w:trHeight w:val="598"/>
        </w:trPr>
        <w:tc>
          <w:tcPr>
            <w:tcW w:w="4680" w:type="dxa"/>
            <w:gridSpan w:val="2"/>
            <w:shd w:val="clear" w:color="auto" w:fill="E7E6E6" w:themeFill="background2"/>
            <w:vAlign w:val="center"/>
          </w:tcPr>
          <w:p w14:paraId="73B69F2A" w14:textId="77777777" w:rsidR="00FB4DB5" w:rsidRPr="002B4183" w:rsidRDefault="00FB4DB5">
            <w:pPr>
              <w:spacing w:before="192"/>
              <w:jc w:val="center"/>
              <w:rPr>
                <w:b/>
                <w:bCs/>
              </w:rPr>
            </w:pPr>
            <w:r w:rsidRPr="002B4183">
              <w:rPr>
                <w:b/>
                <w:bCs/>
              </w:rPr>
              <w:t>Model 1</w:t>
            </w:r>
          </w:p>
        </w:tc>
        <w:tc>
          <w:tcPr>
            <w:tcW w:w="4675" w:type="dxa"/>
            <w:gridSpan w:val="2"/>
            <w:shd w:val="clear" w:color="auto" w:fill="E7E6E6" w:themeFill="background2"/>
            <w:vAlign w:val="center"/>
          </w:tcPr>
          <w:p w14:paraId="40051175" w14:textId="77777777" w:rsidR="00FB4DB5" w:rsidRPr="002B4183" w:rsidRDefault="00FB4DB5">
            <w:pPr>
              <w:spacing w:before="192"/>
              <w:jc w:val="center"/>
              <w:rPr>
                <w:b/>
                <w:bCs/>
              </w:rPr>
            </w:pPr>
            <w:r w:rsidRPr="002B4183">
              <w:rPr>
                <w:b/>
                <w:bCs/>
              </w:rPr>
              <w:t xml:space="preserve">Model </w:t>
            </w:r>
            <w:r>
              <w:rPr>
                <w:b/>
                <w:bCs/>
              </w:rPr>
              <w:t>2</w:t>
            </w:r>
          </w:p>
        </w:tc>
      </w:tr>
      <w:tr w:rsidR="00D378A4" w14:paraId="14D027CB" w14:textId="77777777">
        <w:trPr>
          <w:trHeight w:val="520"/>
        </w:trPr>
        <w:tc>
          <w:tcPr>
            <w:tcW w:w="1260" w:type="dxa"/>
            <w:shd w:val="clear" w:color="auto" w:fill="E7E6E6" w:themeFill="background2"/>
            <w:vAlign w:val="center"/>
          </w:tcPr>
          <w:p w14:paraId="28877105" w14:textId="77777777" w:rsidR="00FB4DB5" w:rsidRPr="00C76985" w:rsidRDefault="00FB4DB5">
            <w:pPr>
              <w:jc w:val="center"/>
              <w:rPr>
                <w:b/>
                <w:bCs/>
                <w:szCs w:val="23"/>
              </w:rPr>
            </w:pPr>
            <w:r w:rsidRPr="00C76985">
              <w:rPr>
                <w:b/>
                <w:bCs/>
                <w:szCs w:val="23"/>
              </w:rPr>
              <w:t>Best portfolio</w:t>
            </w:r>
            <w:r>
              <w:rPr>
                <w:b/>
                <w:bCs/>
                <w:szCs w:val="23"/>
              </w:rPr>
              <w:t xml:space="preserve"> actions</w:t>
            </w:r>
          </w:p>
        </w:tc>
        <w:tc>
          <w:tcPr>
            <w:tcW w:w="3420" w:type="dxa"/>
            <w:shd w:val="clear" w:color="auto" w:fill="auto"/>
            <w:vAlign w:val="center"/>
          </w:tcPr>
          <w:p w14:paraId="6F07A5E7" w14:textId="77777777" w:rsidR="00FB4DB5" w:rsidRDefault="00FB4DB5" w:rsidP="00FB4DB5">
            <w:pPr>
              <w:pStyle w:val="ListParagraph"/>
              <w:numPr>
                <w:ilvl w:val="0"/>
                <w:numId w:val="34"/>
              </w:numPr>
              <w:jc w:val="both"/>
              <w:rPr>
                <w:szCs w:val="23"/>
              </w:rPr>
            </w:pPr>
            <w:r>
              <w:rPr>
                <w:szCs w:val="23"/>
              </w:rPr>
              <w:t>Shield against 5mm debris</w:t>
            </w:r>
          </w:p>
          <w:p w14:paraId="13748E00" w14:textId="77777777" w:rsidR="00FB4DB5" w:rsidRDefault="00FB4DB5" w:rsidP="00FB4DB5">
            <w:pPr>
              <w:pStyle w:val="ListParagraph"/>
              <w:numPr>
                <w:ilvl w:val="0"/>
                <w:numId w:val="34"/>
              </w:numPr>
              <w:jc w:val="both"/>
              <w:rPr>
                <w:szCs w:val="23"/>
              </w:rPr>
            </w:pPr>
            <w:r>
              <w:rPr>
                <w:szCs w:val="23"/>
              </w:rPr>
              <w:t>Laser ranging and 2 new Space Fences</w:t>
            </w:r>
          </w:p>
          <w:p w14:paraId="79784BDF" w14:textId="77777777" w:rsidR="00FB4DB5" w:rsidRDefault="00FB4DB5" w:rsidP="00FB4DB5">
            <w:pPr>
              <w:pStyle w:val="ListParagraph"/>
              <w:numPr>
                <w:ilvl w:val="0"/>
                <w:numId w:val="34"/>
              </w:numPr>
              <w:jc w:val="both"/>
              <w:rPr>
                <w:szCs w:val="23"/>
              </w:rPr>
            </w:pPr>
            <w:r>
              <w:rPr>
                <w:szCs w:val="23"/>
              </w:rPr>
              <w:t>Laser JCA</w:t>
            </w:r>
          </w:p>
          <w:p w14:paraId="17039ADB" w14:textId="77777777" w:rsidR="00FB4DB5" w:rsidRDefault="00FB4DB5" w:rsidP="00FB4DB5">
            <w:pPr>
              <w:pStyle w:val="ListParagraph"/>
              <w:numPr>
                <w:ilvl w:val="0"/>
                <w:numId w:val="34"/>
              </w:numPr>
              <w:jc w:val="both"/>
              <w:rPr>
                <w:szCs w:val="23"/>
              </w:rPr>
            </w:pPr>
            <w:r>
              <w:rPr>
                <w:szCs w:val="23"/>
              </w:rPr>
              <w:t>0-year PMD</w:t>
            </w:r>
          </w:p>
          <w:p w14:paraId="60060178" w14:textId="0E21445E" w:rsidR="00FB4DB5" w:rsidRPr="00FD0757" w:rsidRDefault="00FB4DB5" w:rsidP="00646B76">
            <w:pPr>
              <w:pStyle w:val="ListParagraph"/>
              <w:numPr>
                <w:ilvl w:val="0"/>
                <w:numId w:val="34"/>
              </w:numPr>
              <w:jc w:val="both"/>
              <w:rPr>
                <w:szCs w:val="23"/>
              </w:rPr>
            </w:pPr>
            <w:r>
              <w:rPr>
                <w:szCs w:val="23"/>
              </w:rPr>
              <w:t>Passivation</w:t>
            </w:r>
          </w:p>
        </w:tc>
        <w:tc>
          <w:tcPr>
            <w:tcW w:w="1260" w:type="dxa"/>
            <w:shd w:val="clear" w:color="auto" w:fill="E7E6E6" w:themeFill="background2"/>
            <w:vAlign w:val="center"/>
          </w:tcPr>
          <w:p w14:paraId="61734D1B" w14:textId="77777777" w:rsidR="00FB4DB5" w:rsidRPr="00C76985" w:rsidRDefault="00FB4DB5">
            <w:pPr>
              <w:jc w:val="center"/>
              <w:rPr>
                <w:b/>
                <w:bCs/>
                <w:szCs w:val="23"/>
              </w:rPr>
            </w:pPr>
            <w:r w:rsidRPr="00C76985">
              <w:rPr>
                <w:b/>
                <w:bCs/>
                <w:szCs w:val="23"/>
              </w:rPr>
              <w:t>Best portfolio</w:t>
            </w:r>
            <w:r>
              <w:rPr>
                <w:b/>
                <w:bCs/>
                <w:szCs w:val="23"/>
              </w:rPr>
              <w:t xml:space="preserve"> actions</w:t>
            </w:r>
          </w:p>
        </w:tc>
        <w:tc>
          <w:tcPr>
            <w:tcW w:w="3415" w:type="dxa"/>
            <w:shd w:val="clear" w:color="auto" w:fill="auto"/>
            <w:vAlign w:val="center"/>
          </w:tcPr>
          <w:p w14:paraId="1F61FE58" w14:textId="375B4482" w:rsidR="00FB4DB5" w:rsidRDefault="0026164A" w:rsidP="00FB4DB5">
            <w:pPr>
              <w:pStyle w:val="ListParagraph"/>
              <w:numPr>
                <w:ilvl w:val="0"/>
                <w:numId w:val="35"/>
              </w:numPr>
              <w:jc w:val="both"/>
              <w:rPr>
                <w:szCs w:val="23"/>
              </w:rPr>
            </w:pPr>
            <w:r>
              <w:rPr>
                <w:szCs w:val="23"/>
              </w:rPr>
              <w:t>0-year PMD</w:t>
            </w:r>
          </w:p>
          <w:p w14:paraId="0D674146" w14:textId="7EDDC53D" w:rsidR="00FB4DB5" w:rsidRDefault="005942A3" w:rsidP="00FB4DB5">
            <w:pPr>
              <w:pStyle w:val="ListParagraph"/>
              <w:numPr>
                <w:ilvl w:val="0"/>
                <w:numId w:val="35"/>
              </w:numPr>
              <w:jc w:val="both"/>
              <w:rPr>
                <w:szCs w:val="23"/>
              </w:rPr>
            </w:pPr>
            <w:r>
              <w:rPr>
                <w:szCs w:val="23"/>
              </w:rPr>
              <w:t>Shield against 5mm debris</w:t>
            </w:r>
          </w:p>
          <w:p w14:paraId="4D3FE2F6" w14:textId="696B974B" w:rsidR="00FB4DB5" w:rsidRDefault="00FB4DB5" w:rsidP="00FB4DB5">
            <w:pPr>
              <w:pStyle w:val="ListParagraph"/>
              <w:numPr>
                <w:ilvl w:val="0"/>
                <w:numId w:val="35"/>
              </w:numPr>
              <w:jc w:val="both"/>
              <w:rPr>
                <w:szCs w:val="23"/>
              </w:rPr>
            </w:pPr>
            <w:r>
              <w:rPr>
                <w:szCs w:val="23"/>
              </w:rPr>
              <w:t xml:space="preserve">Laser </w:t>
            </w:r>
            <w:r w:rsidR="002D65A8">
              <w:rPr>
                <w:szCs w:val="23"/>
              </w:rPr>
              <w:t>ranging</w:t>
            </w:r>
          </w:p>
          <w:p w14:paraId="66458A1B" w14:textId="0D144247" w:rsidR="00FB4DB5" w:rsidRPr="00F3130D" w:rsidRDefault="008E4750" w:rsidP="00F3130D">
            <w:pPr>
              <w:pStyle w:val="ListParagraph"/>
              <w:numPr>
                <w:ilvl w:val="0"/>
                <w:numId w:val="35"/>
              </w:numPr>
              <w:jc w:val="both"/>
              <w:rPr>
                <w:szCs w:val="23"/>
              </w:rPr>
            </w:pPr>
            <w:r>
              <w:rPr>
                <w:szCs w:val="23"/>
              </w:rPr>
              <w:t>Laser removal of cm debris</w:t>
            </w:r>
          </w:p>
        </w:tc>
      </w:tr>
      <w:tr w:rsidR="009D2F56" w14:paraId="13C31C04" w14:textId="77777777">
        <w:trPr>
          <w:trHeight w:val="520"/>
        </w:trPr>
        <w:tc>
          <w:tcPr>
            <w:tcW w:w="1260" w:type="dxa"/>
            <w:shd w:val="clear" w:color="auto" w:fill="E7E6E6" w:themeFill="background2"/>
            <w:vAlign w:val="center"/>
          </w:tcPr>
          <w:p w14:paraId="10936580" w14:textId="77777777" w:rsidR="00FB4DB5" w:rsidRPr="00654D4A" w:rsidRDefault="00FB4DB5">
            <w:pPr>
              <w:jc w:val="center"/>
              <w:rPr>
                <w:szCs w:val="23"/>
              </w:rPr>
            </w:pPr>
            <w:r w:rsidRPr="00654D4A">
              <w:rPr>
                <w:b/>
                <w:bCs/>
                <w:szCs w:val="23"/>
              </w:rPr>
              <w:t>NPV</w:t>
            </w:r>
          </w:p>
        </w:tc>
        <w:tc>
          <w:tcPr>
            <w:tcW w:w="3420" w:type="dxa"/>
            <w:vAlign w:val="center"/>
          </w:tcPr>
          <w:p w14:paraId="01A98F4F" w14:textId="4558F256" w:rsidR="00FB4DB5" w:rsidRPr="00654D4A" w:rsidRDefault="00FB4DB5">
            <w:pPr>
              <w:jc w:val="center"/>
              <w:rPr>
                <w:szCs w:val="23"/>
              </w:rPr>
            </w:pPr>
            <w:r w:rsidRPr="00654D4A">
              <w:rPr>
                <w:szCs w:val="23"/>
              </w:rPr>
              <w:t>$</w:t>
            </w:r>
            <w:r w:rsidR="00654D4A" w:rsidRPr="00654D4A">
              <w:rPr>
                <w:szCs w:val="23"/>
              </w:rPr>
              <w:t>3</w:t>
            </w:r>
            <w:r w:rsidRPr="00654D4A">
              <w:rPr>
                <w:szCs w:val="23"/>
              </w:rPr>
              <w:t>.</w:t>
            </w:r>
            <w:r w:rsidR="00654D4A" w:rsidRPr="00654D4A">
              <w:rPr>
                <w:szCs w:val="23"/>
              </w:rPr>
              <w:t>48</w:t>
            </w:r>
            <w:r w:rsidRPr="00654D4A">
              <w:rPr>
                <w:szCs w:val="23"/>
              </w:rPr>
              <w:t xml:space="preserve"> T</w:t>
            </w:r>
          </w:p>
        </w:tc>
        <w:tc>
          <w:tcPr>
            <w:tcW w:w="1260" w:type="dxa"/>
            <w:shd w:val="clear" w:color="auto" w:fill="E7E6E6" w:themeFill="background2"/>
            <w:vAlign w:val="center"/>
          </w:tcPr>
          <w:p w14:paraId="60EB78D4" w14:textId="77777777" w:rsidR="00FB4DB5" w:rsidRPr="00132164" w:rsidRDefault="00FB4DB5">
            <w:pPr>
              <w:jc w:val="center"/>
              <w:rPr>
                <w:szCs w:val="23"/>
              </w:rPr>
            </w:pPr>
            <w:r w:rsidRPr="00132164">
              <w:rPr>
                <w:b/>
                <w:bCs/>
                <w:szCs w:val="23"/>
              </w:rPr>
              <w:t>NPV</w:t>
            </w:r>
          </w:p>
        </w:tc>
        <w:tc>
          <w:tcPr>
            <w:tcW w:w="3415" w:type="dxa"/>
            <w:vAlign w:val="center"/>
          </w:tcPr>
          <w:p w14:paraId="44874086" w14:textId="35348EB0" w:rsidR="00FB4DB5" w:rsidRPr="00132164" w:rsidRDefault="00FB4DB5">
            <w:pPr>
              <w:jc w:val="center"/>
              <w:rPr>
                <w:szCs w:val="23"/>
              </w:rPr>
            </w:pPr>
            <w:r w:rsidRPr="00132164">
              <w:rPr>
                <w:szCs w:val="23"/>
              </w:rPr>
              <w:t>$28</w:t>
            </w:r>
            <w:r w:rsidR="00132164" w:rsidRPr="00132164">
              <w:rPr>
                <w:szCs w:val="23"/>
              </w:rPr>
              <w:t>9</w:t>
            </w:r>
            <w:r w:rsidRPr="00132164">
              <w:rPr>
                <w:szCs w:val="23"/>
              </w:rPr>
              <w:t xml:space="preserve"> B</w:t>
            </w:r>
          </w:p>
        </w:tc>
      </w:tr>
      <w:tr w:rsidR="009D2F56" w14:paraId="07F3243F" w14:textId="77777777">
        <w:trPr>
          <w:trHeight w:val="520"/>
        </w:trPr>
        <w:tc>
          <w:tcPr>
            <w:tcW w:w="1260" w:type="dxa"/>
            <w:shd w:val="clear" w:color="auto" w:fill="E7E6E6" w:themeFill="background2"/>
            <w:vAlign w:val="center"/>
          </w:tcPr>
          <w:p w14:paraId="3F1675EF" w14:textId="77777777" w:rsidR="00FB4DB5" w:rsidRPr="00A770D2" w:rsidRDefault="00FB4DB5">
            <w:pPr>
              <w:jc w:val="center"/>
              <w:rPr>
                <w:szCs w:val="23"/>
              </w:rPr>
            </w:pPr>
            <w:r w:rsidRPr="00A770D2">
              <w:rPr>
                <w:b/>
                <w:bCs/>
                <w:szCs w:val="23"/>
              </w:rPr>
              <w:t>Up-front cost</w:t>
            </w:r>
          </w:p>
        </w:tc>
        <w:tc>
          <w:tcPr>
            <w:tcW w:w="3420" w:type="dxa"/>
            <w:vAlign w:val="center"/>
          </w:tcPr>
          <w:p w14:paraId="5BB7194E" w14:textId="51A6317A" w:rsidR="00FB4DB5" w:rsidRPr="00A770D2" w:rsidRDefault="00FB4DB5">
            <w:pPr>
              <w:jc w:val="center"/>
              <w:rPr>
                <w:szCs w:val="23"/>
              </w:rPr>
            </w:pPr>
            <w:r w:rsidRPr="00A770D2">
              <w:rPr>
                <w:szCs w:val="23"/>
              </w:rPr>
              <w:t>$</w:t>
            </w:r>
            <w:r w:rsidR="00516220" w:rsidRPr="00A770D2">
              <w:rPr>
                <w:szCs w:val="23"/>
              </w:rPr>
              <w:t xml:space="preserve">1.80 </w:t>
            </w:r>
            <w:r w:rsidRPr="00A770D2">
              <w:rPr>
                <w:szCs w:val="23"/>
              </w:rPr>
              <w:t>B</w:t>
            </w:r>
          </w:p>
        </w:tc>
        <w:tc>
          <w:tcPr>
            <w:tcW w:w="1260" w:type="dxa"/>
            <w:shd w:val="clear" w:color="auto" w:fill="E7E6E6" w:themeFill="background2"/>
            <w:vAlign w:val="center"/>
          </w:tcPr>
          <w:p w14:paraId="1A52AA1E" w14:textId="77777777" w:rsidR="00FB4DB5" w:rsidRPr="00C70797" w:rsidRDefault="00FB4DB5">
            <w:pPr>
              <w:jc w:val="center"/>
              <w:rPr>
                <w:szCs w:val="23"/>
              </w:rPr>
            </w:pPr>
            <w:r w:rsidRPr="00C70797">
              <w:rPr>
                <w:b/>
                <w:bCs/>
                <w:szCs w:val="23"/>
              </w:rPr>
              <w:t>Up-front cost</w:t>
            </w:r>
          </w:p>
        </w:tc>
        <w:tc>
          <w:tcPr>
            <w:tcW w:w="3415" w:type="dxa"/>
            <w:vAlign w:val="center"/>
          </w:tcPr>
          <w:p w14:paraId="70550023" w14:textId="27EA656E" w:rsidR="00FB4DB5" w:rsidRPr="00C70797" w:rsidRDefault="00FB4DB5">
            <w:pPr>
              <w:jc w:val="center"/>
              <w:rPr>
                <w:szCs w:val="23"/>
              </w:rPr>
            </w:pPr>
            <w:r w:rsidRPr="00C70797">
              <w:rPr>
                <w:szCs w:val="23"/>
              </w:rPr>
              <w:t>$</w:t>
            </w:r>
            <w:r w:rsidR="00DB4726" w:rsidRPr="00C70797">
              <w:rPr>
                <w:szCs w:val="23"/>
              </w:rPr>
              <w:t>830</w:t>
            </w:r>
            <w:r w:rsidRPr="00C70797">
              <w:rPr>
                <w:szCs w:val="23"/>
              </w:rPr>
              <w:t xml:space="preserve"> </w:t>
            </w:r>
            <w:r w:rsidR="00DB4726" w:rsidRPr="00C70797">
              <w:rPr>
                <w:szCs w:val="23"/>
              </w:rPr>
              <w:t>M</w:t>
            </w:r>
          </w:p>
        </w:tc>
      </w:tr>
      <w:tr w:rsidR="009D2F56" w14:paraId="22E7953E" w14:textId="77777777">
        <w:trPr>
          <w:trHeight w:val="520"/>
        </w:trPr>
        <w:tc>
          <w:tcPr>
            <w:tcW w:w="1260" w:type="dxa"/>
            <w:shd w:val="clear" w:color="auto" w:fill="E7E6E6" w:themeFill="background2"/>
            <w:vAlign w:val="center"/>
          </w:tcPr>
          <w:p w14:paraId="15C23D29" w14:textId="77777777" w:rsidR="00FB4DB5" w:rsidRPr="00A770D2" w:rsidRDefault="00FB4DB5">
            <w:pPr>
              <w:jc w:val="center"/>
              <w:rPr>
                <w:szCs w:val="23"/>
              </w:rPr>
            </w:pPr>
            <w:r w:rsidRPr="00A770D2">
              <w:rPr>
                <w:b/>
                <w:bCs/>
                <w:szCs w:val="23"/>
              </w:rPr>
              <w:t>Running cost</w:t>
            </w:r>
          </w:p>
        </w:tc>
        <w:tc>
          <w:tcPr>
            <w:tcW w:w="3420" w:type="dxa"/>
            <w:vAlign w:val="center"/>
          </w:tcPr>
          <w:p w14:paraId="57B1112E" w14:textId="45F8761D" w:rsidR="00FB4DB5" w:rsidRPr="00A770D2" w:rsidRDefault="00FB4DB5">
            <w:pPr>
              <w:jc w:val="center"/>
              <w:rPr>
                <w:szCs w:val="23"/>
              </w:rPr>
            </w:pPr>
            <w:r w:rsidRPr="00A770D2">
              <w:rPr>
                <w:szCs w:val="23"/>
              </w:rPr>
              <w:t>$1</w:t>
            </w:r>
            <w:r w:rsidR="00A770D2" w:rsidRPr="00A770D2">
              <w:rPr>
                <w:szCs w:val="23"/>
              </w:rPr>
              <w:t>40</w:t>
            </w:r>
            <w:r w:rsidRPr="00A770D2">
              <w:rPr>
                <w:szCs w:val="23"/>
              </w:rPr>
              <w:t xml:space="preserve"> M/year</w:t>
            </w:r>
          </w:p>
        </w:tc>
        <w:tc>
          <w:tcPr>
            <w:tcW w:w="1260" w:type="dxa"/>
            <w:shd w:val="clear" w:color="auto" w:fill="E7E6E6" w:themeFill="background2"/>
            <w:vAlign w:val="center"/>
          </w:tcPr>
          <w:p w14:paraId="3EECEFE5" w14:textId="77777777" w:rsidR="00FB4DB5" w:rsidRPr="00C70797" w:rsidRDefault="00FB4DB5">
            <w:pPr>
              <w:jc w:val="center"/>
              <w:rPr>
                <w:szCs w:val="23"/>
              </w:rPr>
            </w:pPr>
            <w:r w:rsidRPr="00C70797">
              <w:rPr>
                <w:b/>
                <w:bCs/>
                <w:szCs w:val="23"/>
              </w:rPr>
              <w:t>Running cost</w:t>
            </w:r>
          </w:p>
        </w:tc>
        <w:tc>
          <w:tcPr>
            <w:tcW w:w="3415" w:type="dxa"/>
            <w:vAlign w:val="center"/>
          </w:tcPr>
          <w:p w14:paraId="22BC0A65" w14:textId="67C83F71" w:rsidR="00FB4DB5" w:rsidRPr="00C70797" w:rsidRDefault="00FB4DB5">
            <w:pPr>
              <w:jc w:val="center"/>
              <w:rPr>
                <w:szCs w:val="23"/>
              </w:rPr>
            </w:pPr>
            <w:r w:rsidRPr="00C70797">
              <w:rPr>
                <w:szCs w:val="23"/>
              </w:rPr>
              <w:t>$</w:t>
            </w:r>
            <w:r w:rsidR="00C924CF" w:rsidRPr="00C70797">
              <w:rPr>
                <w:szCs w:val="23"/>
              </w:rPr>
              <w:t>24</w:t>
            </w:r>
            <w:r w:rsidRPr="00C70797">
              <w:rPr>
                <w:szCs w:val="23"/>
              </w:rPr>
              <w:t xml:space="preserve"> M/year</w:t>
            </w:r>
          </w:p>
        </w:tc>
      </w:tr>
    </w:tbl>
    <w:p w14:paraId="15BABCE1" w14:textId="77777777" w:rsidR="008E2465" w:rsidRDefault="00F4407D" w:rsidP="008E2465">
      <w:pPr>
        <w:keepNext/>
      </w:pPr>
      <w:r>
        <w:rPr>
          <w:noProof/>
        </w:rPr>
        <w:lastRenderedPageBreak/>
        <w:drawing>
          <wp:inline distT="0" distB="0" distL="0" distR="0" wp14:anchorId="3DAEB740" wp14:editId="092FA5E1">
            <wp:extent cx="5943600" cy="2971800"/>
            <wp:effectExtent l="0" t="0" r="0" b="0"/>
            <wp:docPr id="2070024740" name="Picture 207002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24740" name="Picture 20700247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C10987D" w14:textId="14A9B90A" w:rsidR="00FB4DB5" w:rsidRDefault="008E2465" w:rsidP="008E2465">
      <w:pPr>
        <w:pStyle w:val="Caption"/>
      </w:pPr>
      <w:r>
        <w:t xml:space="preserve">Figure </w:t>
      </w:r>
      <w:r>
        <w:fldChar w:fldCharType="begin"/>
      </w:r>
      <w:r>
        <w:instrText xml:space="preserve"> SEQ Figure \* ARABIC </w:instrText>
      </w:r>
      <w:r>
        <w:fldChar w:fldCharType="separate"/>
      </w:r>
      <w:r w:rsidR="001F0D0C">
        <w:rPr>
          <w:noProof/>
        </w:rPr>
        <w:t>12</w:t>
      </w:r>
      <w:r>
        <w:rPr>
          <w:noProof/>
        </w:rPr>
        <w:fldChar w:fldCharType="end"/>
      </w:r>
      <w:r>
        <w:t xml:space="preserve">: </w:t>
      </w:r>
      <w:r w:rsidRPr="00413EF1">
        <w:t xml:space="preserve">Scaling of overall portfolio NPV as actions are added in unconstrained </w:t>
      </w:r>
      <w:r w:rsidR="007D7D43">
        <w:t>efficient</w:t>
      </w:r>
      <w:r w:rsidRPr="00413EF1">
        <w:t xml:space="preserve"> rank orders (shown in Table </w:t>
      </w:r>
      <w:r w:rsidR="00A95D26">
        <w:t>7</w:t>
      </w:r>
      <w:r w:rsidRPr="00413EF1">
        <w:t>). The red line shows scaling under Model 1, the blue line shows scaling under Model 2. Portfolio NPVs are expressed as fractions of the NPV of</w:t>
      </w:r>
      <w:r>
        <w:t xml:space="preserve"> the unconstrained </w:t>
      </w:r>
      <w:r w:rsidR="007D7D43">
        <w:t>efficient</w:t>
      </w:r>
      <w:r>
        <w:t xml:space="preserve"> portfolios with 0-year TTV.</w:t>
      </w:r>
    </w:p>
    <w:p w14:paraId="01FEB8EF" w14:textId="083C04D3" w:rsidR="00990CDA" w:rsidRDefault="00081E23" w:rsidP="008314ED">
      <w:pPr>
        <w:pStyle w:val="Heading1"/>
      </w:pPr>
      <w:bookmarkStart w:id="18" w:name="_Toc192166306"/>
      <w:r>
        <w:t xml:space="preserve">Summary and </w:t>
      </w:r>
      <w:r w:rsidR="00E62CBA">
        <w:t>Conclusions</w:t>
      </w:r>
      <w:bookmarkEnd w:id="18"/>
    </w:p>
    <w:p w14:paraId="3E84C850" w14:textId="2BF99C27" w:rsidR="00C23C0F" w:rsidRPr="004903EF" w:rsidRDefault="00902201" w:rsidP="00C23C0F">
      <w:pPr>
        <w:rPr>
          <w:color w:val="000000" w:themeColor="text1"/>
        </w:rPr>
      </w:pPr>
      <w:r>
        <w:t xml:space="preserve">This analysis demonstrated the complementarity and substitution between a variety of space sustainability actions. Using the risk model developed in </w:t>
      </w:r>
      <w:sdt>
        <w:sdtPr>
          <w:id w:val="803654694"/>
          <w:citation/>
        </w:sdtPr>
        <w:sdtEndPr/>
        <w:sdtContent>
          <w:r>
            <w:fldChar w:fldCharType="begin"/>
          </w:r>
          <w:r>
            <w:instrText xml:space="preserve"> CITATION Col23 \l 1033 </w:instrText>
          </w:r>
          <w:r>
            <w:fldChar w:fldCharType="separate"/>
          </w:r>
          <w:r w:rsidR="00A466B0">
            <w:rPr>
              <w:noProof/>
            </w:rPr>
            <w:t>(Colvin, Karcz and Wusk 2023)</w:t>
          </w:r>
          <w:r>
            <w:fldChar w:fldCharType="end"/>
          </w:r>
        </w:sdtContent>
      </w:sdt>
      <w:r>
        <w:t xml:space="preserve"> and </w:t>
      </w:r>
      <w:sdt>
        <w:sdtPr>
          <w:id w:val="-1820251814"/>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 xml:space="preserve">, we </w:t>
      </w:r>
      <w:r w:rsidR="00C43313">
        <w:t xml:space="preserve">designed </w:t>
      </w:r>
      <w:r w:rsidR="007D7D43">
        <w:t>efficient</w:t>
      </w:r>
      <w:r w:rsidR="00C43313">
        <w:t xml:space="preserve"> portfolios of space sustainability actions that account for these complementarit</w:t>
      </w:r>
      <w:r w:rsidR="00722D26">
        <w:t>ies</w:t>
      </w:r>
      <w:r w:rsidR="00C43313">
        <w:t xml:space="preserve"> and </w:t>
      </w:r>
      <w:r w:rsidR="0034558D">
        <w:t>substitutabilit</w:t>
      </w:r>
      <w:r w:rsidR="00722D26">
        <w:t>ies</w:t>
      </w:r>
      <w:r w:rsidR="0034558D">
        <w:t xml:space="preserve">, and showed how different assumptions about the </w:t>
      </w:r>
      <w:r w:rsidR="00722D26">
        <w:t xml:space="preserve">debris environment can lead to different </w:t>
      </w:r>
      <w:r w:rsidR="007D7D43">
        <w:t>efficient</w:t>
      </w:r>
      <w:r w:rsidR="00722D26">
        <w:t xml:space="preserve"> portfolios or different prioritization within the same </w:t>
      </w:r>
      <w:r w:rsidR="007D7D43">
        <w:t>efficient</w:t>
      </w:r>
      <w:r w:rsidR="00722D26">
        <w:t xml:space="preserve"> portfolios. </w:t>
      </w:r>
      <w:r w:rsidR="006609F8">
        <w:t>In our main analysis, t</w:t>
      </w:r>
      <w:r w:rsidR="00C23C0F" w:rsidRPr="00AD6F64">
        <w:t>hree features</w:t>
      </w:r>
      <w:r w:rsidR="00C23C0F">
        <w:t xml:space="preserve"> stand out:</w:t>
      </w:r>
    </w:p>
    <w:p w14:paraId="070581D4" w14:textId="21E84DAD" w:rsidR="00C23C0F" w:rsidRDefault="00C23C0F" w:rsidP="00C23C0F">
      <w:pPr>
        <w:pStyle w:val="ListParagraph"/>
        <w:numPr>
          <w:ilvl w:val="0"/>
          <w:numId w:val="29"/>
        </w:numPr>
        <w:rPr>
          <w:noProof/>
          <w:color w:val="000000" w:themeColor="text1"/>
        </w:rPr>
      </w:pPr>
      <w:r>
        <w:rPr>
          <w:b/>
          <w:bCs/>
          <w:color w:val="000000" w:themeColor="text1"/>
        </w:rPr>
        <w:t xml:space="preserve">The best combination of 3 actions can achieve at least 95% of the value of the </w:t>
      </w:r>
      <w:r w:rsidR="007D7D43">
        <w:rPr>
          <w:b/>
          <w:bCs/>
          <w:color w:val="000000" w:themeColor="text1"/>
        </w:rPr>
        <w:t>efficient</w:t>
      </w:r>
      <w:r>
        <w:rPr>
          <w:b/>
          <w:bCs/>
          <w:color w:val="000000" w:themeColor="text1"/>
        </w:rPr>
        <w:t xml:space="preserve"> portfolio.</w:t>
      </w:r>
      <w:r>
        <w:rPr>
          <w:color w:val="000000" w:themeColor="text1"/>
        </w:rPr>
        <w:t xml:space="preserve"> The first few actions in general address the bulk of the risk. Under Model 1 those involve shielding against tiny debris, tracking more objects and reducing uncertainty to support better active collision avoidance, and nudging large derelict objects to avert collisions between them (effectively giving them maneuvering capabilities). Under Model 2, those involve tracking more objects and reducing uncertainty, removing small debris objects, and nudging large derelicts. The emphasis on shielding against millimeter-sized debris in Model 1 is consistent with the ORDEM-predicted small debris fluxes used in the model. Model 2 also finds that removing small debris objects is a worthwhile endeavor but given that it predicts lower millimeter-debris flux, it focuses on centimeter-sized debris.</w:t>
      </w:r>
    </w:p>
    <w:p w14:paraId="7952508B" w14:textId="67F8A097" w:rsidR="00C23C0F" w:rsidRPr="002F0D86" w:rsidRDefault="00C23C0F" w:rsidP="00C23C0F">
      <w:pPr>
        <w:pStyle w:val="ListParagraph"/>
        <w:numPr>
          <w:ilvl w:val="0"/>
          <w:numId w:val="29"/>
        </w:numPr>
        <w:rPr>
          <w:noProof/>
          <w:color w:val="000000" w:themeColor="text1"/>
        </w:rPr>
      </w:pPr>
      <w:r>
        <w:rPr>
          <w:b/>
          <w:bCs/>
          <w:color w:val="000000" w:themeColor="text1"/>
        </w:rPr>
        <w:t xml:space="preserve">The </w:t>
      </w:r>
      <w:r w:rsidR="007D7D43">
        <w:rPr>
          <w:b/>
          <w:bCs/>
          <w:color w:val="000000" w:themeColor="text1"/>
        </w:rPr>
        <w:t>efficient</w:t>
      </w:r>
      <w:r>
        <w:rPr>
          <w:b/>
          <w:bCs/>
          <w:color w:val="000000" w:themeColor="text1"/>
        </w:rPr>
        <w:t xml:space="preserve"> portfolio does not contain all actions. </w:t>
      </w:r>
      <w:r w:rsidRPr="00AD6D8C">
        <w:rPr>
          <w:color w:val="000000" w:themeColor="text1"/>
        </w:rPr>
        <w:t>This is despite all actions having positive individual benefit.</w:t>
      </w:r>
      <w:r>
        <w:rPr>
          <w:color w:val="000000" w:themeColor="text1"/>
        </w:rPr>
        <w:t xml:space="preserve"> Why? Under both models there are diminishing marginal returns to </w:t>
      </w:r>
      <w:r>
        <w:rPr>
          <w:color w:val="000000" w:themeColor="text1"/>
        </w:rPr>
        <w:lastRenderedPageBreak/>
        <w:t>spending on more sustainability actions. As each action is added to the portfolio, the remaining risks for new actions to address diminish while the costs of implementing the actions remain constant. For example, consider the curve for Model 2. The 7</w:t>
      </w:r>
      <w:r w:rsidRPr="001A7687">
        <w:rPr>
          <w:color w:val="000000" w:themeColor="text1"/>
          <w:vertAlign w:val="superscript"/>
        </w:rPr>
        <w:t>th</w:t>
      </w:r>
      <w:r>
        <w:rPr>
          <w:color w:val="000000" w:themeColor="text1"/>
        </w:rPr>
        <w:t xml:space="preserve"> action added is ADR, by which time the portfolio is already addressing risk from existing large debris through Laser JCA and Passivation, on already addressing the creation of new pieces of large debris through 0-year PMD, and addressing risk from shedded or existing small debris through shielding and Laser cm debris removal. At that point it makes sense that spending upwards of $1 B up-front to bring the ADR capability online and around $45 M/year to maintain it is not a worthwhile investment – much of the risk it would address is already being addressed.</w:t>
      </w:r>
    </w:p>
    <w:p w14:paraId="65E8DCFB" w14:textId="0B8D86FE" w:rsidR="00C23C0F" w:rsidRPr="001E1E2A" w:rsidRDefault="00C23C0F" w:rsidP="00C23C0F">
      <w:pPr>
        <w:pStyle w:val="ListParagraph"/>
        <w:numPr>
          <w:ilvl w:val="0"/>
          <w:numId w:val="29"/>
        </w:numPr>
        <w:rPr>
          <w:noProof/>
          <w:color w:val="000000" w:themeColor="text1"/>
        </w:rPr>
      </w:pPr>
      <w:r>
        <w:rPr>
          <w:b/>
          <w:bCs/>
          <w:color w:val="000000" w:themeColor="text1"/>
        </w:rPr>
        <w:t>Interaction effects matter</w:t>
      </w:r>
      <w:r w:rsidRPr="00B02F35">
        <w:rPr>
          <w:b/>
          <w:bCs/>
          <w:color w:val="000000" w:themeColor="text1"/>
        </w:rPr>
        <w:t>.</w:t>
      </w:r>
      <w:r>
        <w:rPr>
          <w:color w:val="000000" w:themeColor="text1"/>
        </w:rPr>
        <w:t xml:space="preserve"> Both models agree that the marginal value of adding an individual action to a portfolio is not the same as the individual value of that action, consistent with the pairwise interactions</w:t>
      </w:r>
      <w:r w:rsidRPr="00A95D26">
        <w:rPr>
          <w:color w:val="000000" w:themeColor="text1"/>
        </w:rPr>
        <w:t xml:space="preserve"> in </w:t>
      </w:r>
      <w:r w:rsidR="00A95D26" w:rsidRPr="00A95D26">
        <w:rPr>
          <w:color w:val="000000" w:themeColor="text1"/>
        </w:rPr>
        <w:t>Figure 6</w:t>
      </w:r>
      <w:r>
        <w:rPr>
          <w:color w:val="000000" w:themeColor="text1"/>
        </w:rPr>
        <w:t>. For example, shielding against 5mm debris is included in both portfolios while using dust to remove all millimeter-sized debris is not – even in the case of Model 1, where Dust mm debris removal is the second most valuable individual action and the only action to show significant complementarity with 0-year PMD. This is likely due to its strong substitution with shielding, which suggests that conditional on using shielding to reduce the risk from millimeter-size debris it is not worth spending an additional ~$1.6 B to further reduce that source of risk.</w:t>
      </w:r>
    </w:p>
    <w:p w14:paraId="0DD749D5" w14:textId="4DD25570" w:rsidR="007A7097" w:rsidRDefault="00495B33" w:rsidP="00581647">
      <w:pPr>
        <w:ind w:firstLine="360"/>
      </w:pPr>
      <w:r>
        <w:t>An im</w:t>
      </w:r>
      <w:r w:rsidR="000E2428">
        <w:t xml:space="preserve">portant implication of point 2 above – that the </w:t>
      </w:r>
      <w:r w:rsidR="007D7D43">
        <w:t>efficient</w:t>
      </w:r>
      <w:r w:rsidR="000E2428">
        <w:t xml:space="preserve"> portfolio does not contain all actions – is that </w:t>
      </w:r>
      <w:r w:rsidR="0008780D">
        <w:t xml:space="preserve">a “peanut butter spread” to investing in </w:t>
      </w:r>
      <w:r w:rsidR="00574415">
        <w:t xml:space="preserve">space sustainability capabilities may be counterproductive. For a rational actor with a fixed budget, it may be more </w:t>
      </w:r>
      <w:r w:rsidR="009039F4">
        <w:t xml:space="preserve">efficient to </w:t>
      </w:r>
      <w:r w:rsidR="00235C5C">
        <w:t xml:space="preserve">pick a portfolio of a few capabilities and </w:t>
      </w:r>
      <w:r w:rsidR="003C412A">
        <w:t xml:space="preserve">allocate greater budget share to them. Point 1 suggests that </w:t>
      </w:r>
      <w:r w:rsidR="003F1DF1">
        <w:t>as few as</w:t>
      </w:r>
      <w:r w:rsidR="003C412A">
        <w:t xml:space="preserve"> 1-3 capabilities may be sufficient</w:t>
      </w:r>
      <w:r w:rsidR="003C190B">
        <w:t>;</w:t>
      </w:r>
      <w:r w:rsidR="008E085A">
        <w:t xml:space="preserve"> point 3 suggests the </w:t>
      </w:r>
      <w:r w:rsidR="007D7D43">
        <w:t>efficient</w:t>
      </w:r>
      <w:r w:rsidR="008E085A">
        <w:t xml:space="preserve"> actions will be those with low substitution between them</w:t>
      </w:r>
      <w:r w:rsidR="003C412A">
        <w:t>.</w:t>
      </w:r>
    </w:p>
    <w:p w14:paraId="45BD0CC8" w14:textId="192475E4" w:rsidR="007E50F5" w:rsidRDefault="007E50F5" w:rsidP="00581647">
      <w:pPr>
        <w:ind w:firstLine="360"/>
      </w:pPr>
      <w:r>
        <w:t xml:space="preserve">It is also worth noting that 0-year PMD dominates 5-year PMD under both models, individually and as an element of an </w:t>
      </w:r>
      <w:r w:rsidR="007D7D43">
        <w:t>efficient</w:t>
      </w:r>
      <w:r>
        <w:t xml:space="preserve"> space sustainability portfolio – the latter under both 10-year and 0-year TTVs. This is consistent with results from the Phase 2 </w:t>
      </w:r>
      <w:r w:rsidR="00A95D26">
        <w:t>study and</w:t>
      </w:r>
      <w:r>
        <w:t xml:space="preserve"> suggests that there may be significant net benefits from implementing immediate post-mission disposal, even if only for ~70% of satellites in orbit with the rest allowed to fail in place.</w:t>
      </w:r>
    </w:p>
    <w:p w14:paraId="0A16A906" w14:textId="16081C00" w:rsidR="007B42C8" w:rsidRDefault="007A7097" w:rsidP="007B42C8">
      <w:pPr>
        <w:pStyle w:val="Heading2"/>
      </w:pPr>
      <w:bookmarkStart w:id="19" w:name="_Toc192166307"/>
      <w:r>
        <w:t>Potential next steps</w:t>
      </w:r>
      <w:bookmarkEnd w:id="19"/>
    </w:p>
    <w:p w14:paraId="0F057055" w14:textId="24504C0E" w:rsidR="008D76C9" w:rsidRDefault="0037414D" w:rsidP="00542446">
      <w:r>
        <w:t xml:space="preserve">The results and limitations of this study suggest some </w:t>
      </w:r>
      <w:r w:rsidR="00542446">
        <w:t>next steps for future work. We discuss a few here.</w:t>
      </w:r>
      <w:r w:rsidR="00B022F7">
        <w:t xml:space="preserve"> </w:t>
      </w:r>
      <w:r w:rsidR="00847B20">
        <w:t>T</w:t>
      </w:r>
      <w:r w:rsidR="00B022F7">
        <w:t xml:space="preserve">hese </w:t>
      </w:r>
      <w:r w:rsidR="006F2F69">
        <w:t>steps</w:t>
      </w:r>
      <w:r w:rsidR="00B022F7">
        <w:t xml:space="preserve"> would</w:t>
      </w:r>
      <w:r w:rsidR="006B2C1E">
        <w:t xml:space="preserve"> very</w:t>
      </w:r>
      <w:r w:rsidR="00B022F7">
        <w:t xml:space="preserve"> likely improve the </w:t>
      </w:r>
      <w:r w:rsidR="005949E8">
        <w:t>value and prioritization estimates from this or related simulation frameworks.</w:t>
      </w:r>
    </w:p>
    <w:p w14:paraId="10CBDAF4" w14:textId="2D9963D4" w:rsidR="00542446" w:rsidRDefault="00542446" w:rsidP="00714C3D">
      <w:pPr>
        <w:pStyle w:val="Heading3"/>
      </w:pPr>
      <w:bookmarkStart w:id="20" w:name="_Toc192166308"/>
      <w:r>
        <w:lastRenderedPageBreak/>
        <w:t>Higher fidelity on up-front costs, recurring costs, and times-to-value</w:t>
      </w:r>
      <w:bookmarkEnd w:id="20"/>
    </w:p>
    <w:p w14:paraId="2B92B7A5" w14:textId="732F18F9" w:rsidR="00191418" w:rsidRDefault="00BA5B5A" w:rsidP="00542446">
      <w:r>
        <w:t>Our</w:t>
      </w:r>
      <w:r w:rsidR="0033227D">
        <w:t xml:space="preserve"> estimates of up-front costs and recurring costs</w:t>
      </w:r>
      <w:r w:rsidR="00CA38C6">
        <w:t xml:space="preserve"> come from </w:t>
      </w:r>
      <w:r w:rsidR="007203EB">
        <w:t xml:space="preserve">the Phase 1 and Phase 2 reports. These estimates were convenient to use for this analysis and </w:t>
      </w:r>
      <w:r w:rsidR="00A62EF8">
        <w:t xml:space="preserve">facilitated comparison of results with </w:t>
      </w:r>
      <w:r w:rsidR="004C3A94">
        <w:t>those studies.</w:t>
      </w:r>
      <w:r w:rsidR="004F593B">
        <w:t xml:space="preserve"> However, </w:t>
      </w:r>
      <w:r w:rsidR="00A67A82">
        <w:t>both the underlying values and the construction</w:t>
      </w:r>
      <w:r w:rsidR="008F17F5">
        <w:t>s</w:t>
      </w:r>
      <w:r w:rsidR="00A67A82">
        <w:t xml:space="preserve"> of the cost estimates involve</w:t>
      </w:r>
      <w:r w:rsidR="00852451">
        <w:t>d</w:t>
      </w:r>
      <w:r w:rsidR="00A67A82">
        <w:t xml:space="preserve"> </w:t>
      </w:r>
      <w:r w:rsidR="00852451">
        <w:t>strong and potentially distortionary assumptions</w:t>
      </w:r>
      <w:r w:rsidR="000E4BFE">
        <w:t xml:space="preserve"> on the system elements and concepts of operations</w:t>
      </w:r>
      <w:r w:rsidR="00852451">
        <w:t>.</w:t>
      </w:r>
      <w:r w:rsidR="0064527A">
        <w:t xml:space="preserve"> </w:t>
      </w:r>
      <w:r w:rsidR="00D378A4">
        <w:t xml:space="preserve">It would </w:t>
      </w:r>
      <w:r w:rsidR="00A36848">
        <w:t>likely be a substantial effort to add greater fidelity across the board, but likely of correspondingly high value.</w:t>
      </w:r>
    </w:p>
    <w:p w14:paraId="0C96D39C" w14:textId="76D4E3EA" w:rsidR="00E8573D" w:rsidRDefault="005C0945" w:rsidP="00714C3D">
      <w:pPr>
        <w:pStyle w:val="Heading3"/>
      </w:pPr>
      <w:bookmarkStart w:id="21" w:name="_Toc192166309"/>
      <w:r>
        <w:t>Modeling cost</w:t>
      </w:r>
      <w:r w:rsidR="00634EE7">
        <w:t xml:space="preserve"> and schedule</w:t>
      </w:r>
      <w:r>
        <w:t xml:space="preserve"> complementarities between actions</w:t>
      </w:r>
      <w:bookmarkEnd w:id="21"/>
    </w:p>
    <w:p w14:paraId="77DF0EFE" w14:textId="3424CF68" w:rsidR="00E85F60" w:rsidRDefault="00E85F60" w:rsidP="00E85F60">
      <w:r>
        <w:t>Our up-front</w:t>
      </w:r>
      <w:r w:rsidR="00BA5B5A">
        <w:t xml:space="preserve"> and running</w:t>
      </w:r>
      <w:r>
        <w:t xml:space="preserve"> cost estimates do not include the possibility of sharing elements or knowledge across systems development. For example, the Phase 1 report noted that the same system that conducts laser JCA could also conduct laser cm-sized debris removal. This suggests that even if two distinct facilities are used for each action, development of one may reduce concurrent or subsequent up-front costs of the other. Neglecting these effects likely biases our up-front cost estimates upwards in cases where actions with common elements are combined. </w:t>
      </w:r>
      <w:r w:rsidR="00D57D10">
        <w:t xml:space="preserve">Similarly, our </w:t>
      </w:r>
      <w:r w:rsidR="00216AA2">
        <w:t xml:space="preserve">TTV assumptions do not </w:t>
      </w:r>
      <w:r w:rsidR="00AA036E">
        <w:t xml:space="preserve">incorporate the potential to temporally sequence actions so as to </w:t>
      </w:r>
      <w:r w:rsidR="005B18E8">
        <w:t>increase net benefits.</w:t>
      </w:r>
    </w:p>
    <w:p w14:paraId="6CCFB0A9" w14:textId="4F91C01E" w:rsidR="00841CCF" w:rsidRDefault="00E85F60" w:rsidP="00581647">
      <w:pPr>
        <w:ind w:firstLine="360"/>
      </w:pPr>
      <w:r>
        <w:t>We also ignore any trade secrets or similar barriers to adoption. As with TTV, we assume that once an action has been developed its costs do not need to be re-incurred by any other actors. This likely biases our up-front costs downwards for actions which will be implemented by distinct entities with competitive commercial or geopolitical incentives.</w:t>
      </w:r>
      <w:r w:rsidR="00841CCF">
        <w:t xml:space="preserve"> </w:t>
      </w:r>
    </w:p>
    <w:p w14:paraId="756BECC7" w14:textId="4F91C01E" w:rsidR="004964DF" w:rsidRDefault="004964DF" w:rsidP="00714C3D">
      <w:pPr>
        <w:pStyle w:val="Heading3"/>
      </w:pPr>
      <w:bookmarkStart w:id="22" w:name="_Toc192166310"/>
      <w:r>
        <w:t>More exploration of the action space</w:t>
      </w:r>
      <w:bookmarkEnd w:id="22"/>
    </w:p>
    <w:p w14:paraId="2EC44562" w14:textId="17BD29F5" w:rsidR="005C0945" w:rsidRDefault="00A51DB2" w:rsidP="00542446">
      <w:r>
        <w:t xml:space="preserve">We chose a very small set of actions for tractability given limited computing resources. This forced us to </w:t>
      </w:r>
      <w:r w:rsidR="00997083">
        <w:t>impose</w:t>
      </w:r>
      <w:r>
        <w:t xml:space="preserve"> admittedly arbitrary </w:t>
      </w:r>
      <w:r w:rsidR="00997083">
        <w:t xml:space="preserve">and somewhat artificial constraints on the concepts of operations for </w:t>
      </w:r>
      <w:r w:rsidR="00C068D6">
        <w:t xml:space="preserve">some </w:t>
      </w:r>
      <w:r w:rsidR="00997083">
        <w:t>actions</w:t>
      </w:r>
      <w:r w:rsidR="00D026DA">
        <w:t>.</w:t>
      </w:r>
      <w:r w:rsidR="00EB3C63">
        <w:t xml:space="preserve"> For example, one might reasonably argue that 5mm is </w:t>
      </w:r>
      <w:r w:rsidR="00FC3030">
        <w:t xml:space="preserve">not the right size of debris to shield against, or that </w:t>
      </w:r>
      <w:r w:rsidR="0048111A">
        <w:t xml:space="preserve">our assumed debris removal efficacy is insufficient. </w:t>
      </w:r>
      <w:r w:rsidR="00BA0EAB">
        <w:t xml:space="preserve">A </w:t>
      </w:r>
      <w:r w:rsidR="00865A17">
        <w:t xml:space="preserve">fuller exploration of the space of plausible actions to consider would be valuable in identifying </w:t>
      </w:r>
      <w:r w:rsidR="009E3FD7">
        <w:t>high-value concepts of operations from the perspective of combining in a portfolio. This effort would likely require additional work on simulation algorithms</w:t>
      </w:r>
      <w:r w:rsidR="00EC0C8D">
        <w:t xml:space="preserve"> to reduce computational burden or else significant compute allocation.</w:t>
      </w:r>
      <w:r w:rsidR="009E3FD7">
        <w:t xml:space="preserve"> </w:t>
      </w:r>
      <w:r w:rsidR="00EC0C8D">
        <w:t>It</w:t>
      </w:r>
      <w:r w:rsidR="009E3FD7">
        <w:t xml:space="preserve"> would be highly complementary to </w:t>
      </w:r>
      <w:r w:rsidR="00265ACB">
        <w:t xml:space="preserve">efforts to attain </w:t>
      </w:r>
      <w:r w:rsidR="00634EE7">
        <w:t>greater fidelity on costs and TTVs as well as to</w:t>
      </w:r>
      <w:r w:rsidR="00BE6A51">
        <w:t xml:space="preserve"> efforts to</w:t>
      </w:r>
      <w:r w:rsidR="00634EE7">
        <w:t xml:space="preserve"> better model cost and schedule</w:t>
      </w:r>
      <w:r w:rsidR="005240CB">
        <w:t xml:space="preserve"> </w:t>
      </w:r>
      <w:r w:rsidR="00634EE7">
        <w:t>complementarit</w:t>
      </w:r>
      <w:r w:rsidR="005240CB">
        <w:t>ies</w:t>
      </w:r>
      <w:r w:rsidR="00BE6A51">
        <w:t xml:space="preserve"> between actions</w:t>
      </w:r>
      <w:r w:rsidR="005240CB">
        <w:t>.</w:t>
      </w:r>
    </w:p>
    <w:p w14:paraId="00FA7121" w14:textId="27C57D92" w:rsidR="007A7097" w:rsidRDefault="00451B71" w:rsidP="00714C3D">
      <w:pPr>
        <w:pStyle w:val="Heading3"/>
      </w:pPr>
      <w:bookmarkStart w:id="23" w:name="_Toc192166311"/>
      <w:r>
        <w:t>Better understanding of discounting and appropriate rate structures</w:t>
      </w:r>
      <w:bookmarkEnd w:id="23"/>
    </w:p>
    <w:p w14:paraId="0A04B2F9" w14:textId="62075F8C" w:rsidR="00E8573D" w:rsidRDefault="00505A8A" w:rsidP="004964DF">
      <w:r>
        <w:t xml:space="preserve">We used a particular discount rate structure, recommended by OMB in Circular No. A-4, to understand the trade-offs between spending dollars now </w:t>
      </w:r>
      <w:r w:rsidR="00433FE4">
        <w:t xml:space="preserve">and receiving benefits in the future. </w:t>
      </w:r>
      <w:r w:rsidR="00556C43">
        <w:lastRenderedPageBreak/>
        <w:t xml:space="preserve">These trade-offs </w:t>
      </w:r>
      <w:r w:rsidR="00D82474">
        <w:t>reflect the</w:t>
      </w:r>
      <w:r w:rsidR="00373939">
        <w:t xml:space="preserve"> particular financial </w:t>
      </w:r>
      <w:r w:rsidR="0000146A">
        <w:t xml:space="preserve">constraints and value judgements of the US government. </w:t>
      </w:r>
      <w:r w:rsidR="00B153A1">
        <w:t>It would be useful to extend this work to use (a) no discounting, and (b) discount rate structures reflecting the constraints and judgements of other actors.</w:t>
      </w:r>
      <w:r w:rsidR="00131993">
        <w:t xml:space="preserve"> The case with no discounting would help in understand the degree to which substitution and complementarity between actions – rather than differences in the timing of benefits</w:t>
      </w:r>
      <w:r w:rsidR="00791D59">
        <w:t xml:space="preserve"> </w:t>
      </w:r>
      <w:r w:rsidR="001B5023">
        <w:t>–</w:t>
      </w:r>
      <w:r w:rsidR="00791D59">
        <w:t xml:space="preserve"> </w:t>
      </w:r>
      <w:r w:rsidR="001B5023">
        <w:t>drive the results obtained here.</w:t>
      </w:r>
      <w:r w:rsidR="000E0FFD">
        <w:t xml:space="preserve"> Cases with different discount structures would </w:t>
      </w:r>
      <w:r w:rsidR="00563C94">
        <w:t>facilita</w:t>
      </w:r>
      <w:r w:rsidR="008464F3">
        <w:t>te</w:t>
      </w:r>
      <w:r w:rsidR="00563C94">
        <w:t xml:space="preserve"> understanding of </w:t>
      </w:r>
      <w:r w:rsidR="008464F3">
        <w:t xml:space="preserve">how different types of actors, e.g., a profit-oriented large constellation operator, would </w:t>
      </w:r>
      <w:r w:rsidR="00260728">
        <w:t>prefer to invest in space sustainability actions.</w:t>
      </w:r>
    </w:p>
    <w:p w14:paraId="6AC7BE55" w14:textId="6450556C" w:rsidR="00832954" w:rsidRDefault="00832954" w:rsidP="00832954">
      <w:pPr>
        <w:pStyle w:val="Heading3"/>
      </w:pPr>
      <w:bookmarkStart w:id="24" w:name="_Toc192166312"/>
      <w:r>
        <w:t>Assessment of non-financial metrics</w:t>
      </w:r>
      <w:bookmarkEnd w:id="24"/>
    </w:p>
    <w:p w14:paraId="30925F04" w14:textId="0B299C7A" w:rsidR="002B6941" w:rsidRDefault="00832954" w:rsidP="004964DF">
      <w:r>
        <w:t xml:space="preserve">We used financial risk as a convenient unit to compare a wide range of consequences and actions. </w:t>
      </w:r>
      <w:r w:rsidR="00615DAB">
        <w:t xml:space="preserve">It would be useful to use different metrics to assess the space sustainability actions. Of particular interest are metrics that appear understudied in the literature and likely of greater importance </w:t>
      </w:r>
      <w:r w:rsidR="002F5E86">
        <w:t>as the commercial space industry develops</w:t>
      </w:r>
      <w:r w:rsidR="00615DAB">
        <w:t xml:space="preserve">, such as human casualty risk on orbit or on the ground. </w:t>
      </w:r>
    </w:p>
    <w:p w14:paraId="1A24628B" w14:textId="66FF1D7A" w:rsidR="004964DF" w:rsidRDefault="004964DF" w:rsidP="00714C3D">
      <w:pPr>
        <w:pStyle w:val="Heading3"/>
      </w:pPr>
      <w:bookmarkStart w:id="25" w:name="_Toc192166313"/>
      <w:r>
        <w:t>Inclusion of adaptive behavior</w:t>
      </w:r>
      <w:bookmarkEnd w:id="25"/>
    </w:p>
    <w:p w14:paraId="083D8866" w14:textId="77777777" w:rsidR="002A6A75" w:rsidRDefault="002A6A75" w:rsidP="002A6A75">
      <w:r>
        <w:t xml:space="preserve">The Phase 2 report assumed that the spacecraft population currently in orbit was maintained, with satellites that were lost due to natural end of life or collisions being immediately replaced. We maintain the same assumption in this report. The launch traffic and active spacecraft population are thus identical in every year and do not respond to the state of the orbital environment. In the baseline scenario, we </w:t>
      </w:r>
      <w:r w:rsidRPr="00016589">
        <w:t xml:space="preserve">assume </w:t>
      </w:r>
      <w:r w:rsidRPr="00016589">
        <w:rPr>
          <w:color w:val="000000" w:themeColor="text1"/>
        </w:rPr>
        <w:t xml:space="preserve">all maneuverable </w:t>
      </w:r>
      <w:r w:rsidRPr="00016589">
        <w:t xml:space="preserve">spacecraft in orbit </w:t>
      </w:r>
      <w:r w:rsidRPr="00016589">
        <w:rPr>
          <w:color w:val="000000" w:themeColor="text1"/>
        </w:rPr>
        <w:t xml:space="preserve">attempt to </w:t>
      </w:r>
      <w:r w:rsidRPr="00016589">
        <w:t>com</w:t>
      </w:r>
      <w:r>
        <w:t>ply with a 25-year deorbit timeline.</w:t>
      </w:r>
    </w:p>
    <w:p w14:paraId="3BA66355" w14:textId="41141A63" w:rsidR="002A6A75" w:rsidRPr="00960B7B" w:rsidRDefault="002A6A75" w:rsidP="00581647">
      <w:pPr>
        <w:ind w:firstLine="360"/>
      </w:pPr>
      <w:r>
        <w:t xml:space="preserve">There are ongoing research efforts to develop methods to predict the evolution of launch traffic and responsiveness of orbital-use patterns to the state of the orbital environment (e.g., </w:t>
      </w:r>
      <w:sdt>
        <w:sdtPr>
          <w:id w:val="-1127316920"/>
          <w:citation/>
        </w:sdtPr>
        <w:sdtEndPr/>
        <w:sdtContent>
          <w:r>
            <w:fldChar w:fldCharType="begin"/>
          </w:r>
          <w:r>
            <w:instrText xml:space="preserve"> CITATION Rao20 \l 1033 </w:instrText>
          </w:r>
          <w:r>
            <w:fldChar w:fldCharType="separate"/>
          </w:r>
          <w:r w:rsidR="00A466B0">
            <w:rPr>
              <w:noProof/>
            </w:rPr>
            <w:t>(Rao, Burgess and Kaffine, Orbital-use fees could more than quadruple the value of the space industry 2020)</w:t>
          </w:r>
          <w:r>
            <w:fldChar w:fldCharType="end"/>
          </w:r>
        </w:sdtContent>
      </w:sdt>
      <w:r>
        <w:t xml:space="preserve">, </w:t>
      </w:r>
      <w:sdt>
        <w:sdtPr>
          <w:id w:val="140008765"/>
          <w:citation/>
        </w:sdtPr>
        <w:sdtEndPr/>
        <w:sdtContent>
          <w:r>
            <w:fldChar w:fldCharType="begin"/>
          </w:r>
          <w:r>
            <w:instrText xml:space="preserve"> CITATION Noz23 \l 1033 </w:instrText>
          </w:r>
          <w:r>
            <w:fldChar w:fldCharType="separate"/>
          </w:r>
          <w:r w:rsidR="00A466B0">
            <w:rPr>
              <w:noProof/>
            </w:rPr>
            <w:t>(Nozawa, et al. 2023)</w:t>
          </w:r>
          <w:r>
            <w:fldChar w:fldCharType="end"/>
          </w:r>
        </w:sdtContent>
      </w:sdt>
      <w:r>
        <w:t xml:space="preserve">, </w:t>
      </w:r>
      <w:sdt>
        <w:sdtPr>
          <w:id w:val="-1114440685"/>
          <w:citation/>
        </w:sdtPr>
        <w:sdtEndPr/>
        <w:sdtContent>
          <w:r>
            <w:fldChar w:fldCharType="begin"/>
          </w:r>
          <w:r>
            <w:instrText xml:space="preserve"> CITATION Rao23 \l 1033 </w:instrText>
          </w:r>
          <w:r>
            <w:fldChar w:fldCharType="separate"/>
          </w:r>
          <w:r w:rsidR="00A466B0">
            <w:rPr>
              <w:noProof/>
            </w:rPr>
            <w:t>(Rao, Moretto, et al. 2023)</w:t>
          </w:r>
          <w:r>
            <w:fldChar w:fldCharType="end"/>
          </w:r>
        </w:sdtContent>
      </w:sdt>
      <w:r>
        <w:t xml:space="preserve">). Incorporating these methods would add significant complexity to the analysis here. While using a steady-state population and constant launch traffic allows us to estimate the monetary value of the physical effects of sustainability actions, including behavioral responses </w:t>
      </w:r>
      <w:r w:rsidR="00164D1E">
        <w:t xml:space="preserve">– e.g., </w:t>
      </w:r>
      <w:r w:rsidR="002B7EB6">
        <w:t xml:space="preserve">changes in the </w:t>
      </w:r>
      <w:r w:rsidR="00E85F60">
        <w:t>orbits that operators launch to</w:t>
      </w:r>
      <w:r w:rsidR="002B7EB6">
        <w:t xml:space="preserve"> or types of satellites launched – </w:t>
      </w:r>
      <w:r>
        <w:t>may provide qualitatively or quantitatively different insights.</w:t>
      </w:r>
      <w:r>
        <w:rPr>
          <w:rStyle w:val="FootnoteReference"/>
        </w:rPr>
        <w:footnoteReference w:id="12"/>
      </w:r>
      <w:r w:rsidR="00A36848">
        <w:t xml:space="preserve"> Such modeling capabilities would be particularly valuable at longer time horizons, as </w:t>
      </w:r>
      <w:r w:rsidR="009D2F56">
        <w:t>operators have more time to adapt.</w:t>
      </w:r>
    </w:p>
    <w:p w14:paraId="7A9DF95B" w14:textId="3D3EE472" w:rsidR="00A36848" w:rsidRDefault="00A36848" w:rsidP="00A36848">
      <w:pPr>
        <w:pStyle w:val="Heading3"/>
      </w:pPr>
      <w:bookmarkStart w:id="26" w:name="_Toc192166314"/>
      <w:r>
        <w:lastRenderedPageBreak/>
        <w:t>Inclusion of active-active interactions</w:t>
      </w:r>
      <w:bookmarkEnd w:id="26"/>
    </w:p>
    <w:p w14:paraId="549BDDEF" w14:textId="630A09F0" w:rsidR="00A36848" w:rsidRDefault="00A36848" w:rsidP="009D2F56">
      <w:r>
        <w:t xml:space="preserve">As in the Phase 1 and Phase 2 reports, we assumed away interactions between active spacecraft. This assumption is likely </w:t>
      </w:r>
      <w:r w:rsidR="009D2F56">
        <w:t xml:space="preserve">innocuous in the short run, but may be significantly distortionary in the long run as the number of active spacecraft grows. Of particular interest </w:t>
      </w:r>
      <w:r w:rsidR="00C43198">
        <w:t xml:space="preserve">would be ways to include such interactions that </w:t>
      </w:r>
      <w:r w:rsidR="00307013">
        <w:t>facilitate</w:t>
      </w:r>
      <w:r w:rsidR="00C43198">
        <w:t xml:space="preserve"> assessment of space traffic coordination actions.</w:t>
      </w:r>
    </w:p>
    <w:p w14:paraId="6AFCCBC9" w14:textId="48A851F6" w:rsidR="005C0945" w:rsidRDefault="000C2A1A" w:rsidP="00714C3D">
      <w:pPr>
        <w:pStyle w:val="Heading3"/>
      </w:pPr>
      <w:bookmarkStart w:id="27" w:name="_Toc192166315"/>
      <w:r>
        <w:t xml:space="preserve">Inclusion of stochastic </w:t>
      </w:r>
      <w:r w:rsidR="004964DF">
        <w:t>effects</w:t>
      </w:r>
      <w:r w:rsidR="00D33A01">
        <w:t xml:space="preserve"> and different </w:t>
      </w:r>
      <w:r w:rsidR="008B5CAF">
        <w:t>space environment scenarios</w:t>
      </w:r>
      <w:bookmarkEnd w:id="27"/>
    </w:p>
    <w:p w14:paraId="71323000" w14:textId="6E7453CE" w:rsidR="00D33A01" w:rsidRDefault="0014280B" w:rsidP="00C5065F">
      <w:r>
        <w:t xml:space="preserve">Our simulation framework is “mean-field” in the sense that actions are modeled as their expectation values. This substantially simplifies the computation of </w:t>
      </w:r>
      <w:r w:rsidR="00E646B1">
        <w:t xml:space="preserve">outcomes, at the cost of uncertainty quantification and understanding </w:t>
      </w:r>
      <w:r w:rsidR="00725EB5">
        <w:t>the value of outcomes that mitigate tail risks</w:t>
      </w:r>
      <w:r w:rsidR="00B37DE2">
        <w:t>.</w:t>
      </w:r>
      <w:r w:rsidR="00950EF9">
        <w:t xml:space="preserve"> We</w:t>
      </w:r>
      <w:r w:rsidR="00D33A01">
        <w:t xml:space="preserve"> also initialize our model from the state of the environment in 2023. However, the state of the environment will differentially affect the benefits of actions. For example, dust may be more valuable immediately after a collision has occurred. Similarly, </w:t>
      </w:r>
      <w:r w:rsidR="00AA099F">
        <w:t xml:space="preserve">shielding may </w:t>
      </w:r>
      <w:r w:rsidR="00893FBC">
        <w:t xml:space="preserve">receive lower priority in an environment dominated by </w:t>
      </w:r>
      <w:r w:rsidR="00950EF9">
        <w:t>large derelict objects that are likely</w:t>
      </w:r>
      <w:r w:rsidR="00AA099F">
        <w:t xml:space="preserve"> </w:t>
      </w:r>
      <w:r w:rsidR="00950EF9">
        <w:t xml:space="preserve">to collide. A stochastic simulation framework with </w:t>
      </w:r>
      <w:r w:rsidR="00A421DA">
        <w:t>multiple</w:t>
      </w:r>
      <w:r w:rsidR="008B5CAF">
        <w:t xml:space="preserve"> space environment scenarios</w:t>
      </w:r>
      <w:r w:rsidR="00950EF9">
        <w:t xml:space="preserve"> could address these limitations.</w:t>
      </w:r>
    </w:p>
    <w:p w14:paraId="223DF8F6" w14:textId="22AD95F7" w:rsidR="00C23C0F" w:rsidRDefault="0071027C" w:rsidP="00204614">
      <w:pPr>
        <w:pStyle w:val="Heading3"/>
      </w:pPr>
      <w:bookmarkStart w:id="28" w:name="_Toc192166316"/>
      <w:r>
        <w:t>Inclusion of policy constraints</w:t>
      </w:r>
      <w:bookmarkEnd w:id="28"/>
    </w:p>
    <w:p w14:paraId="6B70A5B7" w14:textId="74B696DA" w:rsidR="0071027C" w:rsidRDefault="0071027C" w:rsidP="0039681F">
      <w:r>
        <w:t xml:space="preserve">We assume all actions are adopted by all space operators at the same time and begin delivering their full benefits immediately after the time-to-value period. This likely overstates the value of actions which will see staggered adoption. We also ignore any limits to how actions can be applied based on policy or legal constraints. This likely overstates the value of actions with significant dependence on policy or laws. This is at least partially mitigated by using the conservative assumption that the TTV is uniformly 10 years. Incorporating </w:t>
      </w:r>
      <w:r w:rsidR="00204614">
        <w:t xml:space="preserve">realistic </w:t>
      </w:r>
      <w:r>
        <w:t>policy</w:t>
      </w:r>
      <w:r w:rsidR="00204614">
        <w:t xml:space="preserve"> and legal</w:t>
      </w:r>
      <w:r>
        <w:t xml:space="preserve"> constraints and realistic timelines under which they could be relaxed would likely </w:t>
      </w:r>
      <w:r w:rsidR="00204614">
        <w:t>improve the prioritization of actions.</w:t>
      </w:r>
    </w:p>
    <w:p w14:paraId="28C83EDE" w14:textId="33943698" w:rsidR="003B79E5" w:rsidRDefault="003B79E5" w:rsidP="003B79E5">
      <w:pPr>
        <w:pStyle w:val="Heading3"/>
      </w:pPr>
      <w:bookmarkStart w:id="29" w:name="_Toc192166317"/>
      <w:r>
        <w:t>Inclusion of solar cycles</w:t>
      </w:r>
      <w:bookmarkEnd w:id="29"/>
    </w:p>
    <w:p w14:paraId="3A5D8435" w14:textId="4D2677C5" w:rsidR="003B79E5" w:rsidRDefault="003B79E5" w:rsidP="003B79E5">
      <w:r>
        <w:t xml:space="preserve">We </w:t>
      </w:r>
      <w:r w:rsidR="001027A5">
        <w:t>did not model the solar cycle in this analysis.</w:t>
      </w:r>
      <w:r w:rsidR="00BA71FF">
        <w:t xml:space="preserve"> The solar cycle would generate variation over time in the rate at which debris deorbit, </w:t>
      </w:r>
      <w:r w:rsidR="009B0EB4">
        <w:t>and may have additional effects on the costs of stationkeeping and post-mission disposal.</w:t>
      </w:r>
      <w:r w:rsidR="00B540F0">
        <w:t xml:space="preserve"> Over short horizons it is unlikely such effects would affect the </w:t>
      </w:r>
      <w:r w:rsidR="00115260">
        <w:t xml:space="preserve">relative net benefits of </w:t>
      </w:r>
      <w:r w:rsidR="000E71E3">
        <w:t>different actions.</w:t>
      </w:r>
      <w:r w:rsidR="001027A5">
        <w:t xml:space="preserve"> </w:t>
      </w:r>
      <w:r w:rsidR="006B6E66">
        <w:t>This may change a</w:t>
      </w:r>
      <w:r w:rsidR="001027A5">
        <w:t>s the simulation time horizon increases</w:t>
      </w:r>
      <w:r w:rsidR="006B6E66">
        <w:t>.</w:t>
      </w:r>
    </w:p>
    <w:p w14:paraId="6C6FDD9F" w14:textId="5683BA3F" w:rsidR="00236178" w:rsidRDefault="00236178" w:rsidP="00236178">
      <w:pPr>
        <w:pStyle w:val="appendix-header"/>
      </w:pPr>
      <w:bookmarkStart w:id="30" w:name="_Toc192166318"/>
      <w:r w:rsidRPr="001B040E">
        <w:lastRenderedPageBreak/>
        <w:t xml:space="preserve">Appendix A: </w:t>
      </w:r>
      <w:r w:rsidR="007B6928" w:rsidRPr="001B040E">
        <w:t xml:space="preserve">Cost </w:t>
      </w:r>
      <w:r w:rsidR="00E82986" w:rsidRPr="001B040E">
        <w:t>Estimat</w:t>
      </w:r>
      <w:r w:rsidR="00864122" w:rsidRPr="001B040E">
        <w:t>ion</w:t>
      </w:r>
      <w:r w:rsidR="00864122">
        <w:t xml:space="preserve"> Methodology</w:t>
      </w:r>
      <w:bookmarkEnd w:id="30"/>
    </w:p>
    <w:p w14:paraId="46057942" w14:textId="647B08EC" w:rsidR="00FD25C5" w:rsidRDefault="002200B4" w:rsidP="002200B4">
      <w:r>
        <w:t xml:space="preserve">This section </w:t>
      </w:r>
      <w:r w:rsidR="0046142D">
        <w:t>provides details on the specific elements used to construct our cost estimates</w:t>
      </w:r>
      <w:r w:rsidR="007440DB">
        <w:t>.</w:t>
      </w:r>
      <w:r w:rsidR="00901C14">
        <w:t xml:space="preserve"> Our estimates are </w:t>
      </w:r>
      <w:r w:rsidR="0046142D">
        <w:t>constructed</w:t>
      </w:r>
      <w:r w:rsidR="00901C14">
        <w:t xml:space="preserve"> from the Phase 1 and Phase 2 reports, albeit categorized differently. </w:t>
      </w:r>
      <w:r w:rsidR="00A34E06">
        <w:t xml:space="preserve">We express all running costs in millions of dollars per year, and all up-front costs in millions of dollars. </w:t>
      </w:r>
    </w:p>
    <w:p w14:paraId="4170B6B0" w14:textId="77777777" w:rsidR="00FD25C5" w:rsidRDefault="00FD25C5" w:rsidP="00581647">
      <w:pPr>
        <w:ind w:firstLine="360"/>
      </w:pPr>
      <w:r>
        <w:t xml:space="preserve">“Up-front costs” for an action are those costs incurred before the action begins delivering benefits, i.e., during the time-to-value period. We classify them into two categories: </w:t>
      </w:r>
    </w:p>
    <w:p w14:paraId="1C1D4DD0" w14:textId="77777777" w:rsidR="00FD25C5" w:rsidRDefault="00FD25C5" w:rsidP="00FD25C5">
      <w:pPr>
        <w:pStyle w:val="ListParagraph"/>
        <w:numPr>
          <w:ilvl w:val="0"/>
          <w:numId w:val="28"/>
        </w:numPr>
      </w:pPr>
      <w:r>
        <w:t>The non-recurring engineering expenses associated with a new action, including testing and validation.</w:t>
      </w:r>
    </w:p>
    <w:p w14:paraId="2B3EF02B" w14:textId="77777777" w:rsidR="00FD25C5" w:rsidRDefault="00FD25C5" w:rsidP="00FD25C5">
      <w:pPr>
        <w:pStyle w:val="ListParagraph"/>
        <w:numPr>
          <w:ilvl w:val="0"/>
          <w:numId w:val="28"/>
        </w:numPr>
      </w:pPr>
      <w:r>
        <w:t>The cost of building the first operational unit.</w:t>
      </w:r>
    </w:p>
    <w:p w14:paraId="28905FAA" w14:textId="77777777" w:rsidR="00FD25C5" w:rsidRDefault="00FD25C5" w:rsidP="00581647">
      <w:pPr>
        <w:ind w:firstLine="360"/>
      </w:pPr>
      <w:r>
        <w:t>For simplicity, we assume that the up-front costs are incurred uniformly over the TTV period.</w:t>
      </w:r>
      <w:r>
        <w:rPr>
          <w:rStyle w:val="FootnoteReference"/>
        </w:rPr>
        <w:footnoteReference w:id="13"/>
      </w:r>
      <w:r>
        <w:t xml:space="preserve"> For example, if an action has a development cost of $10M then in the 10-year TTV case we accrue $1M of development cost per year beginning in year 0 until year 10. These costs are discounted in the calculation of NPV but are reported in undiscounted dollars.</w:t>
      </w:r>
    </w:p>
    <w:p w14:paraId="45B2BF85" w14:textId="77777777" w:rsidR="00FD25C5" w:rsidRDefault="00FD25C5" w:rsidP="00581647">
      <w:pPr>
        <w:ind w:firstLine="360"/>
      </w:pPr>
      <w:r>
        <w:t xml:space="preserve">“Running costs” are those costs incurred while the action is active. They include: </w:t>
      </w:r>
    </w:p>
    <w:p w14:paraId="756A2515" w14:textId="77777777" w:rsidR="00FD25C5" w:rsidRDefault="00FD25C5" w:rsidP="00FD25C5">
      <w:pPr>
        <w:pStyle w:val="ListParagraph"/>
        <w:numPr>
          <w:ilvl w:val="0"/>
          <w:numId w:val="28"/>
        </w:numPr>
      </w:pPr>
      <w:r>
        <w:t>The unit costs of building and (re-)deploying the system that implements the action, incurred at an action-specific refresh frequency. For simplicity, we assume the entity implementing the action budgets for these costs annually. A $100 unit cost incurred every 5 years is therefore converted to a $20 annually recurring cost.</w:t>
      </w:r>
    </w:p>
    <w:p w14:paraId="041D99AF" w14:textId="77777777" w:rsidR="00FD25C5" w:rsidRDefault="00FD25C5" w:rsidP="00FD25C5">
      <w:pPr>
        <w:pStyle w:val="ListParagraph"/>
        <w:numPr>
          <w:ilvl w:val="0"/>
          <w:numId w:val="28"/>
        </w:numPr>
      </w:pPr>
      <w:r>
        <w:t xml:space="preserve">The operations and maintenance cost associated with running the action, incurred annually as long as the action is active. </w:t>
      </w:r>
    </w:p>
    <w:p w14:paraId="7E9D7635" w14:textId="77777777" w:rsidR="00FD25C5" w:rsidRDefault="00FD25C5" w:rsidP="00581647">
      <w:pPr>
        <w:ind w:firstLine="360"/>
      </w:pPr>
      <w:r>
        <w:t>Whatever actions are taken over the next 60 years, many will involve systems that need to be re-deployed. This was not an issue in the Phase 1 and 2 reports since actions were assumed to occur only once and evaluated over relatively short time horizons. In this report, we incorporate the costs of constructing replacement hardware and facilities into the annual operational cost flow. This is necessary since we are interested in the relative values of different portfolios of actions with different up-front and running costs. For consistency, we make the following assumptions:</w:t>
      </w:r>
    </w:p>
    <w:p w14:paraId="79CCD2D3" w14:textId="77777777" w:rsidR="00FD25C5" w:rsidRDefault="00FD25C5" w:rsidP="00FD25C5">
      <w:pPr>
        <w:pStyle w:val="ListParagraph"/>
        <w:numPr>
          <w:ilvl w:val="0"/>
          <w:numId w:val="28"/>
        </w:numPr>
      </w:pPr>
      <w:r>
        <w:t>Facilities and related fixed infrastructure for actions like laser JCA and radar tracking have 20-year lifespans.</w:t>
      </w:r>
    </w:p>
    <w:p w14:paraId="41C0E75B" w14:textId="77777777" w:rsidR="00FD25C5" w:rsidRPr="00620540" w:rsidRDefault="00FD25C5" w:rsidP="00FD25C5">
      <w:pPr>
        <w:pStyle w:val="ListParagraph"/>
        <w:numPr>
          <w:ilvl w:val="0"/>
          <w:numId w:val="28"/>
        </w:numPr>
      </w:pPr>
      <w:r w:rsidRPr="00620540">
        <w:lastRenderedPageBreak/>
        <w:t>Spacecraft operational lifetimes are held constant from the Phase 2 report. The average lifetime, weighted by prevalence of different spacecraft, is 4.8 years, and the median is 5 years. For simplicity we use 5 years for cost accrual.</w:t>
      </w:r>
    </w:p>
    <w:p w14:paraId="20786DE5" w14:textId="77777777" w:rsidR="00FD25C5" w:rsidRDefault="00FD25C5" w:rsidP="00FD25C5">
      <w:pPr>
        <w:pStyle w:val="ListParagraph"/>
        <w:numPr>
          <w:ilvl w:val="0"/>
          <w:numId w:val="28"/>
        </w:numPr>
      </w:pPr>
      <w:r>
        <w:t>Running costs are pre-funded. That is, budget for replacement, operations, and maintenance costs associated with an action must be accumulated before the expenses are incurred. For example, if a replacement spacecraft costs $5M in year 5 and operations and maintenance is another $5M over years 5-10, the $10M over years 5-10 will be budgeted for prior to year 5.</w:t>
      </w:r>
    </w:p>
    <w:p w14:paraId="471CA9E1" w14:textId="77777777" w:rsidR="00FD25C5" w:rsidRDefault="00FD25C5" w:rsidP="00581647">
      <w:pPr>
        <w:ind w:firstLine="360"/>
      </w:pPr>
      <w:r>
        <w:t xml:space="preserve">The Phase 1 and Phase 2 reports provided estimates of running costs as defined in this report. We construct the running costs here from the estimated costs in those reports. </w:t>
      </w:r>
    </w:p>
    <w:p w14:paraId="31AE05B7" w14:textId="5E8D5865" w:rsidR="00FD25C5" w:rsidRDefault="00C1384E" w:rsidP="00581647">
      <w:pPr>
        <w:ind w:firstLine="360"/>
      </w:pPr>
      <w:r>
        <w:t>Up-front costs for new systems are often subject to significant uncertainty. We assume that the first operational unit has the same cost as subsequent units.</w:t>
      </w:r>
      <w:r>
        <w:rPr>
          <w:rStyle w:val="FootnoteReference"/>
        </w:rPr>
        <w:footnoteReference w:id="14"/>
      </w:r>
      <w:r>
        <w:t xml:space="preserve"> Estimating the NRE is more challenging. Where possible, we use analogies to systems known to be similar to those we are assessing. Where such systems do not exist, we use an “iterative design” heuristic and assume that the NRE is twice the cost of the hardware involved in the operational system. </w:t>
      </w:r>
      <w:r w:rsidRPr="00104CC5">
        <w:t xml:space="preserve">This </w:t>
      </w:r>
      <w:r>
        <w:t xml:space="preserve">heuristic </w:t>
      </w:r>
      <w:r w:rsidRPr="00104CC5">
        <w:t>will likely overstate the development cost for systems that have relatively fewer new elements or require fewer test iterations and understate the development cost for systems that have relatively more new elements or require more test iterations. Further research on estimating the development</w:t>
      </w:r>
      <w:r>
        <w:t xml:space="preserve"> </w:t>
      </w:r>
      <w:r w:rsidR="00FD25C5" w:rsidRPr="00104CC5">
        <w:t xml:space="preserve">cost of new systems </w:t>
      </w:r>
      <w:r w:rsidR="00FD25C5">
        <w:t>relevant to</w:t>
      </w:r>
      <w:r w:rsidR="00FD25C5" w:rsidRPr="00104CC5">
        <w:t xml:space="preserve"> space sustainability actions would be helpful.</w:t>
      </w:r>
    </w:p>
    <w:p w14:paraId="4FEC18C3" w14:textId="6CBD8F1F" w:rsidR="00466F69" w:rsidRDefault="00A34E06" w:rsidP="00581647">
      <w:pPr>
        <w:ind w:firstLine="360"/>
      </w:pPr>
      <w:r>
        <w:t>In the baseline case with 10-year TTV</w:t>
      </w:r>
      <w:r w:rsidR="00875FFB">
        <w:t xml:space="preserve"> for all actions</w:t>
      </w:r>
      <w:r>
        <w:t>, the</w:t>
      </w:r>
      <w:r w:rsidR="00875FFB">
        <w:t xml:space="preserve"> up-front cost is divided by 10 to obtain the </w:t>
      </w:r>
      <w:r w:rsidR="00890D5D">
        <w:t>annual budgetary impact</w:t>
      </w:r>
      <w:r w:rsidR="003F12A7">
        <w:t>.</w:t>
      </w:r>
      <w:r>
        <w:t xml:space="preserve"> </w:t>
      </w:r>
      <w:r w:rsidR="00DD0822">
        <w:t xml:space="preserve">We also assume that all expenses are pre-funded. This means that the cost of the first operational unit is accounted for in the up-front costs, and system replacement costs are accounted for in the running costs before replacement occurs. The </w:t>
      </w:r>
      <w:r w:rsidR="008E1FCA">
        <w:t>replacement costs are annualized on a straight-line basis. All budgetary costs are presented in undiscounted dollar values</w:t>
      </w:r>
      <w:r w:rsidR="00BA20D1">
        <w:t xml:space="preserve">; while the investment analysis must account for the opportunity cost of funds, the undiscounted values are </w:t>
      </w:r>
      <w:r w:rsidR="00551DD9">
        <w:t>relevant</w:t>
      </w:r>
      <w:r w:rsidR="00BA20D1">
        <w:t xml:space="preserve"> for budgeting and planning purposes.</w:t>
      </w:r>
    </w:p>
    <w:p w14:paraId="4C7CA3BB" w14:textId="16426146" w:rsidR="00E82E41" w:rsidRDefault="00166C6A" w:rsidP="00581647">
      <w:pPr>
        <w:ind w:firstLine="360"/>
        <w:rPr>
          <w:color w:val="FF0000"/>
        </w:rPr>
      </w:pPr>
      <w:r>
        <w:t xml:space="preserve">The mitigation and tracking actions all involve systems or improvements that exist or are in use today. We therefore assign no NRE cost to those </w:t>
      </w:r>
      <w:r w:rsidR="003D62F0">
        <w:t xml:space="preserve">actions. In those cases, the up-front cost is simply the cost of the first operational system or tranche of improvements. The remediation actions do involve novel systems and so get NRE attributed. </w:t>
      </w:r>
      <w:r w:rsidR="000E359E">
        <w:t>We use the “iterative design” heuristic described in the main text to calculate these costs</w:t>
      </w:r>
      <w:r w:rsidR="0097009B">
        <w:t xml:space="preserve"> as 2x the hardware cost. In these </w:t>
      </w:r>
      <w:r w:rsidR="0097009B">
        <w:lastRenderedPageBreak/>
        <w:t>cases, the up-front costs are the sum of the NRE</w:t>
      </w:r>
      <w:r w:rsidR="000A69BE">
        <w:t xml:space="preserve"> cost</w:t>
      </w:r>
      <w:r w:rsidR="0097009B">
        <w:t xml:space="preserve"> and the </w:t>
      </w:r>
      <w:r w:rsidR="000A69BE">
        <w:t>cost of the first operational system.</w:t>
      </w:r>
      <w:r w:rsidR="00466F69" w:rsidRPr="00875FFB">
        <w:rPr>
          <w:color w:val="FF0000"/>
        </w:rPr>
        <w:t xml:space="preserve"> </w:t>
      </w:r>
    </w:p>
    <w:p w14:paraId="79499270" w14:textId="77777777" w:rsidR="006838BD" w:rsidRDefault="006838BD" w:rsidP="0071491F">
      <w:pPr>
        <w:rPr>
          <w:color w:val="FF0000"/>
        </w:rPr>
      </w:pPr>
    </w:p>
    <w:p w14:paraId="2159685C" w14:textId="63ABA5D0" w:rsidR="00B134E4" w:rsidRDefault="00B134E4" w:rsidP="001A69B2">
      <w:pPr>
        <w:pStyle w:val="Heading2"/>
      </w:pPr>
      <w:bookmarkStart w:id="31" w:name="_Toc192166319"/>
      <w:r>
        <w:t>Mitigation actions</w:t>
      </w:r>
      <w:bookmarkEnd w:id="31"/>
    </w:p>
    <w:p w14:paraId="3B1065C0" w14:textId="25AA926C" w:rsidR="000C2AE4" w:rsidRDefault="00B134E4" w:rsidP="00B134E4">
      <w:r>
        <w:t xml:space="preserve">The Phase 2 report provides the basis of our estimates of the cost of mitigation actions. We </w:t>
      </w:r>
      <w:r w:rsidR="00BA44A6">
        <w:t>focus on four types of actions that are technologically feasible today</w:t>
      </w:r>
      <w:r w:rsidR="00A044B9">
        <w:t xml:space="preserve"> (“</w:t>
      </w:r>
      <w:r w:rsidR="00151452">
        <w:t>Shielding 5mm”,</w:t>
      </w:r>
      <w:r w:rsidR="00D42BC9">
        <w:t xml:space="preserve"> “Passivation”, “5-year PMD”, and</w:t>
      </w:r>
      <w:r w:rsidR="00151452">
        <w:t xml:space="preserve"> “0-year PMD”</w:t>
      </w:r>
      <w:r w:rsidR="00D42BC9">
        <w:t>)</w:t>
      </w:r>
      <w:r w:rsidR="00DA55CC">
        <w:t>.</w:t>
      </w:r>
      <w:r w:rsidR="00B020EA">
        <w:t xml:space="preserve"> </w:t>
      </w:r>
    </w:p>
    <w:p w14:paraId="79EDFDD0" w14:textId="5C1993D1" w:rsidR="000C2AE4" w:rsidRDefault="00B020EA" w:rsidP="00581647">
      <w:pPr>
        <w:ind w:firstLine="360"/>
      </w:pPr>
      <w:r>
        <w:t xml:space="preserve">Shielding against 5mm debris strikes </w:t>
      </w:r>
      <w:r w:rsidR="00516FC2">
        <w:t xml:space="preserve">is assumed to require an </w:t>
      </w:r>
      <w:r w:rsidR="00516FC2" w:rsidRPr="001B040E">
        <w:t>additional 1.5-3.1</w:t>
      </w:r>
      <w:r w:rsidR="00516FC2">
        <w:t xml:space="preserve"> kg/m</w:t>
      </w:r>
      <w:r w:rsidR="00516FC2" w:rsidRPr="00516FC2">
        <w:rPr>
          <w:vertAlign w:val="superscript"/>
        </w:rPr>
        <w:t>2</w:t>
      </w:r>
      <w:r w:rsidR="00516FC2">
        <w:t xml:space="preserve"> of areal mass</w:t>
      </w:r>
      <w:r w:rsidR="00EE7E22">
        <w:t>.</w:t>
      </w:r>
      <w:r w:rsidR="009D100F">
        <w:t xml:space="preserve"> </w:t>
      </w:r>
      <w:r w:rsidR="000C2AE4">
        <w:t xml:space="preserve">As in the Phase 2 report, we assume that </w:t>
      </w:r>
      <w:r w:rsidR="0067377B">
        <w:t>spacecraft are already shielded against 1mm debris strikes from medium density debris, e.g., aluminum</w:t>
      </w:r>
      <w:r w:rsidR="00213B34">
        <w:t xml:space="preserve"> debris</w:t>
      </w:r>
      <w:r w:rsidR="004C11ED">
        <w:t xml:space="preserve">, and we assume that all debris are medium density </w:t>
      </w:r>
      <w:r w:rsidR="001B040E">
        <w:t>to</w:t>
      </w:r>
      <w:r w:rsidR="004C11ED">
        <w:t xml:space="preserve"> simplify this analysis.</w:t>
      </w:r>
    </w:p>
    <w:p w14:paraId="39428BB6" w14:textId="7D7F0BCB" w:rsidR="000C2AE4" w:rsidRDefault="004C11ED" w:rsidP="00581647">
      <w:pPr>
        <w:ind w:firstLine="360"/>
      </w:pPr>
      <w:r>
        <w:t>Complete or hard p</w:t>
      </w:r>
      <w:r w:rsidR="009D100F">
        <w:t xml:space="preserve">assivation to mitigate explosions is </w:t>
      </w:r>
      <w:r>
        <w:t xml:space="preserve">estimated using the implementation of </w:t>
      </w:r>
      <w:r w:rsidR="002A72E5">
        <w:t xml:space="preserve">a segmented battery system that is more robust to thermal runaway during </w:t>
      </w:r>
      <w:r w:rsidR="00FD4286">
        <w:t xml:space="preserve">and after operations </w:t>
      </w:r>
      <w:r w:rsidR="00637713">
        <w:t>and adding pyrotechnic valves to vent propellant after operations.</w:t>
      </w:r>
      <w:r w:rsidR="00BE6557">
        <w:t xml:space="preserve"> The battery system is assumed to double the spacecraft battery mass and the </w:t>
      </w:r>
      <w:r w:rsidR="002A1F8C">
        <w:t xml:space="preserve">addition of </w:t>
      </w:r>
      <w:r w:rsidR="00BE6557">
        <w:t>valve</w:t>
      </w:r>
      <w:r w:rsidR="002A1F8C">
        <w:t>s (including materials, testing, and launch)</w:t>
      </w:r>
      <w:r w:rsidR="00BE6557">
        <w:t xml:space="preserve"> </w:t>
      </w:r>
      <w:r w:rsidR="002A1F8C">
        <w:t>is</w:t>
      </w:r>
      <w:r w:rsidR="00BE6557">
        <w:t xml:space="preserve"> assumed to add </w:t>
      </w:r>
      <w:r w:rsidR="00BE6557" w:rsidRPr="001B040E">
        <w:t xml:space="preserve">between </w:t>
      </w:r>
      <w:r w:rsidR="002A1F8C" w:rsidRPr="001B040E">
        <w:t>$10K-$150K to</w:t>
      </w:r>
      <w:r w:rsidR="002A1F8C">
        <w:t xml:space="preserve"> the total spacecraft cost.</w:t>
      </w:r>
      <w:r w:rsidR="009442AD">
        <w:t xml:space="preserve"> </w:t>
      </w:r>
    </w:p>
    <w:p w14:paraId="38AD09A2" w14:textId="158F6715" w:rsidR="000C2AE4" w:rsidRDefault="009442AD" w:rsidP="00581647">
      <w:pPr>
        <w:ind w:firstLine="360"/>
      </w:pPr>
      <w:r>
        <w:t xml:space="preserve">5-year and 0-year PMD both involve </w:t>
      </w:r>
      <w:r w:rsidR="00EC7D8B">
        <w:t>spacecraft moving from their initial orbit to a circular orbit at the highest altitude such that they will naturally deorbit in 5 or 0 years</w:t>
      </w:r>
      <w:r w:rsidR="002A0CFE">
        <w:t xml:space="preserve"> (where “0 years” is taken to mean “less than 1 year”). </w:t>
      </w:r>
      <w:r w:rsidR="004C11ED">
        <w:t xml:space="preserve">We continue to radically simplify the complex operations needed to choose a disposal altitude by assuming disposal </w:t>
      </w:r>
      <w:r w:rsidR="002A0CFE">
        <w:t>altitudes are 550 km and 300 km</w:t>
      </w:r>
      <w:r w:rsidR="004C11ED">
        <w:t>, respectively</w:t>
      </w:r>
      <w:r w:rsidR="002A0CFE">
        <w:t>.</w:t>
      </w:r>
      <w:r w:rsidR="00747653">
        <w:t xml:space="preserve"> The maneuvers are assumed to involve two Hohmann transfers </w:t>
      </w:r>
      <w:r w:rsidR="00EA55A6">
        <w:t xml:space="preserve">using an </w:t>
      </w:r>
      <w:r w:rsidR="00D80A3C">
        <w:t>electrical propulsion system with specific impulse of 1,500 seconds</w:t>
      </w:r>
      <w:r w:rsidR="00EA55A6">
        <w:t>.</w:t>
      </w:r>
      <w:r w:rsidR="00D80A3C">
        <w:t xml:space="preserve"> The cost of the maneuver</w:t>
      </w:r>
      <w:r w:rsidR="008E2181">
        <w:t>s</w:t>
      </w:r>
      <w:r w:rsidR="00D80A3C">
        <w:t xml:space="preserve"> is </w:t>
      </w:r>
      <w:r w:rsidR="008E2181">
        <w:t>calculated as the cost of additional propellant required to conduct them.</w:t>
      </w:r>
      <w:r w:rsidR="00EA55A6">
        <w:t xml:space="preserve"> </w:t>
      </w:r>
      <w:r w:rsidR="004C11ED">
        <w:t xml:space="preserve">This ignores other potential costs like potentially increasing the size of the propulsion system. All spacecraft attempt to be compliant (i.e., pay for compliance) but we assume only 90% of PMD attempts are successful. </w:t>
      </w:r>
      <w:r w:rsidR="00EA55A6">
        <w:t>If a satellite is already operating at or below the relevant disposal altitude</w:t>
      </w:r>
      <w:r w:rsidR="004C11ED">
        <w:t xml:space="preserve"> (i.e., natural</w:t>
      </w:r>
      <w:r w:rsidR="0079791D">
        <w:t>ly</w:t>
      </w:r>
      <w:r w:rsidR="004C11ED">
        <w:t xml:space="preserve"> compliant)</w:t>
      </w:r>
      <w:r w:rsidR="00EA55A6">
        <w:t xml:space="preserve">, it is allowed to fail in place with no cost. </w:t>
      </w:r>
      <w:r w:rsidR="004C11ED">
        <w:t>Spacecraft without a propulsion system fail in place.</w:t>
      </w:r>
    </w:p>
    <w:p w14:paraId="1B89DB45" w14:textId="399A59E5" w:rsidR="00B134E4" w:rsidRDefault="00B020EA" w:rsidP="00581647">
      <w:pPr>
        <w:ind w:firstLine="360"/>
      </w:pPr>
      <w:r>
        <w:t xml:space="preserve">Further details on the CONOPS and assumed efficacies of </w:t>
      </w:r>
      <w:r w:rsidR="00B478DA">
        <w:t>these actions</w:t>
      </w:r>
      <w:r>
        <w:t xml:space="preserve"> are described in Appendix C of the Phase 2 report </w:t>
      </w:r>
      <w:sdt>
        <w:sdtPr>
          <w:id w:val="-111292248"/>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w:t>
      </w:r>
      <w:r w:rsidR="000C2AE4">
        <w:t xml:space="preserve"> </w:t>
      </w:r>
      <w:r w:rsidR="00DA55CC">
        <w:t xml:space="preserve">All </w:t>
      </w:r>
      <w:r w:rsidR="003B11F9">
        <w:t xml:space="preserve">of these </w:t>
      </w:r>
      <w:r w:rsidR="00DA55CC">
        <w:t>actions would be applied to active spacecraft</w:t>
      </w:r>
      <w:r w:rsidR="003B11F9">
        <w:t>.</w:t>
      </w:r>
      <w:r w:rsidR="00030828">
        <w:t xml:space="preserve"> The up-front costs are therefore calculated as the cost of applying the relevant subsystems (e.g., additional shielding mass,</w:t>
      </w:r>
      <w:r w:rsidR="00741584">
        <w:t xml:space="preserve"> </w:t>
      </w:r>
      <w:r w:rsidR="00D75865">
        <w:t xml:space="preserve">battery mass to eliminate </w:t>
      </w:r>
      <w:r w:rsidR="00146940">
        <w:t>explosion risk</w:t>
      </w:r>
      <w:r w:rsidR="00D75865">
        <w:t>)</w:t>
      </w:r>
      <w:r w:rsidR="00030828">
        <w:t xml:space="preserve"> to the </w:t>
      </w:r>
      <w:r w:rsidR="00146940">
        <w:t xml:space="preserve">entire active spacecraft population. As in the Phase 2 report, </w:t>
      </w:r>
      <w:r w:rsidR="002C7FC2">
        <w:t>w</w:t>
      </w:r>
      <w:r w:rsidR="002C7FC2" w:rsidRPr="002C7FC2">
        <w:t xml:space="preserve">e assume that spacecraft are immediately replaced. We do not track when a satellite was launched, so we hold uncertain </w:t>
      </w:r>
      <w:r w:rsidR="002C7FC2" w:rsidRPr="002C7FC2">
        <w:lastRenderedPageBreak/>
        <w:t xml:space="preserve">how long </w:t>
      </w:r>
      <w:r w:rsidR="002C7FC2">
        <w:t>each spacecraft has been operating</w:t>
      </w:r>
      <w:r w:rsidR="002C7FC2" w:rsidRPr="002C7FC2">
        <w:t>. That means each year, there is a 1 / lifetime probability that each spacecraft has reached its end of life and must be replaced</w:t>
      </w:r>
      <w:r w:rsidR="0031780D">
        <w:t xml:space="preserve"> (</w:t>
      </w:r>
      <w:r w:rsidR="002C7FC2">
        <w:t>e</w:t>
      </w:r>
      <w:r w:rsidR="0031780D">
        <w:t>.</w:t>
      </w:r>
      <w:r w:rsidR="002C7FC2">
        <w:t>g</w:t>
      </w:r>
      <w:r w:rsidR="0031780D">
        <w:t xml:space="preserve">., a </w:t>
      </w:r>
      <w:r w:rsidR="0031780D" w:rsidRPr="002223B4">
        <w:t xml:space="preserve">satellite with </w:t>
      </w:r>
      <w:r w:rsidR="0031780D" w:rsidRPr="00581647">
        <w:t>a 5</w:t>
      </w:r>
      <w:r w:rsidR="0074017F" w:rsidRPr="00581647">
        <w:t>-</w:t>
      </w:r>
      <w:r w:rsidR="0031780D" w:rsidRPr="00581647">
        <w:t>year lifetime has a 20%</w:t>
      </w:r>
      <w:r w:rsidR="0031780D" w:rsidRPr="002223B4">
        <w:t xml:space="preserve"> </w:t>
      </w:r>
      <w:r w:rsidR="0006487C" w:rsidRPr="002223B4">
        <w:t>probability</w:t>
      </w:r>
      <w:r w:rsidR="0006487C">
        <w:t xml:space="preserve"> of being replaced in any given year). </w:t>
      </w:r>
      <w:r w:rsidR="00A93167">
        <w:t xml:space="preserve">The average lifetime across the population is roughly </w:t>
      </w:r>
      <w:r w:rsidR="006E329F">
        <w:t>5</w:t>
      </w:r>
      <w:r w:rsidR="00A93167">
        <w:t xml:space="preserve"> years. </w:t>
      </w:r>
      <w:r w:rsidR="0006487C">
        <w:t xml:space="preserve">We therefore construct the running costs </w:t>
      </w:r>
      <w:r w:rsidR="00A93167">
        <w:t>as the total</w:t>
      </w:r>
      <w:r w:rsidR="00C471F4">
        <w:t xml:space="preserve"> cost divided by the average lifetime, since that reflects the average fraction of spacecraft being replaced and incurring the incremental costs associated with these actions.</w:t>
      </w:r>
      <w:r w:rsidR="00CD24A0">
        <w:t xml:space="preserve"> </w:t>
      </w:r>
      <w:r w:rsidR="00A30287">
        <w:t xml:space="preserve">Table </w:t>
      </w:r>
      <w:r w:rsidR="0079076A">
        <w:t xml:space="preserve">8 </w:t>
      </w:r>
      <w:r w:rsidR="00A30287">
        <w:t>describes the cost elements and estimates for all risk mitigation actions considered. All costs are rounded up to the nearest million dollars.</w:t>
      </w:r>
    </w:p>
    <w:p w14:paraId="566BB3DC" w14:textId="77777777" w:rsidR="00403B98" w:rsidRDefault="00403B98" w:rsidP="00B134E4"/>
    <w:p w14:paraId="380AC4F8" w14:textId="0CEF015E" w:rsidR="00403B98" w:rsidRPr="00581647" w:rsidRDefault="00403B98" w:rsidP="00581647">
      <w:pPr>
        <w:rPr>
          <w:i/>
          <w:iCs/>
          <w:color w:val="0B3D91" w:themeColor="accent1"/>
          <w:sz w:val="18"/>
          <w:szCs w:val="18"/>
        </w:rPr>
      </w:pPr>
      <w:r w:rsidRPr="00581647">
        <w:rPr>
          <w:i/>
          <w:iCs/>
          <w:color w:val="0B3D91" w:themeColor="accent1"/>
          <w:sz w:val="18"/>
          <w:szCs w:val="18"/>
        </w:rPr>
        <w:t xml:space="preserve">Table </w:t>
      </w:r>
      <w:r w:rsidRPr="00581647">
        <w:rPr>
          <w:i/>
          <w:iCs/>
          <w:color w:val="0B3D91" w:themeColor="accent1"/>
          <w:sz w:val="18"/>
          <w:szCs w:val="18"/>
        </w:rPr>
        <w:fldChar w:fldCharType="begin"/>
      </w:r>
      <w:r w:rsidRPr="00581647">
        <w:rPr>
          <w:i/>
          <w:iCs/>
          <w:color w:val="0B3D91" w:themeColor="accent1"/>
          <w:sz w:val="18"/>
          <w:szCs w:val="18"/>
        </w:rPr>
        <w:instrText xml:space="preserve"> SEQ Table \* ARABIC </w:instrText>
      </w:r>
      <w:r w:rsidRPr="00581647">
        <w:rPr>
          <w:i/>
          <w:iCs/>
          <w:color w:val="0B3D91" w:themeColor="accent1"/>
          <w:sz w:val="18"/>
          <w:szCs w:val="18"/>
        </w:rPr>
        <w:fldChar w:fldCharType="separate"/>
      </w:r>
      <w:r w:rsidR="001F0D0C">
        <w:rPr>
          <w:i/>
          <w:iCs/>
          <w:noProof/>
          <w:color w:val="0B3D91" w:themeColor="accent1"/>
          <w:sz w:val="18"/>
          <w:szCs w:val="18"/>
        </w:rPr>
        <w:t>8</w:t>
      </w:r>
      <w:r w:rsidRPr="00581647">
        <w:rPr>
          <w:i/>
          <w:iCs/>
          <w:color w:val="0B3D91" w:themeColor="accent1"/>
          <w:sz w:val="18"/>
          <w:szCs w:val="18"/>
        </w:rPr>
        <w:fldChar w:fldCharType="end"/>
      </w:r>
      <w:r w:rsidRPr="00581647">
        <w:rPr>
          <w:i/>
          <w:iCs/>
          <w:color w:val="0B3D91" w:themeColor="accent1"/>
          <w:sz w:val="18"/>
          <w:szCs w:val="18"/>
        </w:rPr>
        <w:t>: Costs for risk mitigation actions</w:t>
      </w:r>
    </w:p>
    <w:tbl>
      <w:tblPr>
        <w:tblStyle w:val="PlainTable5"/>
        <w:tblW w:w="0" w:type="auto"/>
        <w:tblLook w:val="04A0" w:firstRow="1" w:lastRow="0" w:firstColumn="1" w:lastColumn="0" w:noHBand="0" w:noVBand="1"/>
      </w:tblPr>
      <w:tblGrid>
        <w:gridCol w:w="1888"/>
        <w:gridCol w:w="4232"/>
        <w:gridCol w:w="1183"/>
        <w:gridCol w:w="890"/>
        <w:gridCol w:w="1167"/>
      </w:tblGrid>
      <w:tr w:rsidR="005F4191" w:rsidRPr="00F67DB2" w14:paraId="7D2483D6" w14:textId="77777777" w:rsidTr="002F100E">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888" w:type="dxa"/>
            <w:noWrap/>
            <w:hideMark/>
          </w:tcPr>
          <w:p w14:paraId="703FAD99" w14:textId="77777777" w:rsidR="00F67DB2" w:rsidRPr="002F100E" w:rsidRDefault="00F67DB2" w:rsidP="00F67DB2">
            <w:pPr>
              <w:spacing w:before="192"/>
              <w:jc w:val="center"/>
              <w:rPr>
                <w:b/>
                <w:bCs/>
                <w:i w:val="0"/>
                <w:iCs w:val="0"/>
              </w:rPr>
            </w:pPr>
            <w:r w:rsidRPr="002F100E">
              <w:rPr>
                <w:b/>
                <w:bCs/>
                <w:i w:val="0"/>
                <w:iCs w:val="0"/>
              </w:rPr>
              <w:t>Action</w:t>
            </w:r>
          </w:p>
        </w:tc>
        <w:tc>
          <w:tcPr>
            <w:tcW w:w="4232" w:type="dxa"/>
            <w:noWrap/>
            <w:hideMark/>
          </w:tcPr>
          <w:p w14:paraId="55F3C283" w14:textId="77777777" w:rsidR="00F67DB2" w:rsidRPr="002F100E" w:rsidRDefault="00F67DB2" w:rsidP="00F67DB2">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Line item</w:t>
            </w:r>
          </w:p>
        </w:tc>
        <w:tc>
          <w:tcPr>
            <w:tcW w:w="1183" w:type="dxa"/>
            <w:noWrap/>
            <w:hideMark/>
          </w:tcPr>
          <w:p w14:paraId="037A0611" w14:textId="77777777" w:rsidR="00F67DB2" w:rsidRPr="002F100E" w:rsidRDefault="00F67DB2" w:rsidP="00F67DB2">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Subtotal</w:t>
            </w:r>
          </w:p>
        </w:tc>
        <w:tc>
          <w:tcPr>
            <w:tcW w:w="890" w:type="dxa"/>
            <w:noWrap/>
            <w:hideMark/>
          </w:tcPr>
          <w:p w14:paraId="7B4771EB" w14:textId="77777777" w:rsidR="00F67DB2" w:rsidRPr="002F100E" w:rsidRDefault="00F67DB2" w:rsidP="00F67DB2">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Total</w:t>
            </w:r>
          </w:p>
        </w:tc>
        <w:tc>
          <w:tcPr>
            <w:tcW w:w="1167" w:type="dxa"/>
            <w:noWrap/>
            <w:hideMark/>
          </w:tcPr>
          <w:p w14:paraId="7EEA49F7" w14:textId="77777777" w:rsidR="00F67DB2" w:rsidRPr="002F100E" w:rsidRDefault="00F67DB2" w:rsidP="00F67DB2">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Unit</w:t>
            </w:r>
          </w:p>
        </w:tc>
      </w:tr>
      <w:tr w:rsidR="00F67DB2" w:rsidRPr="00F67DB2" w14:paraId="4CA1F78F"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tcBorders>
              <w:top w:val="single" w:sz="4" w:space="0" w:color="7F7F7F" w:themeColor="text1" w:themeTint="80"/>
              <w:bottom w:val="single" w:sz="4" w:space="0" w:color="auto"/>
            </w:tcBorders>
            <w:noWrap/>
            <w:hideMark/>
          </w:tcPr>
          <w:p w14:paraId="7CE2935D" w14:textId="77777777" w:rsidR="00F67DB2" w:rsidRPr="00F67DB2" w:rsidRDefault="00F67DB2" w:rsidP="00F67DB2"/>
        </w:tc>
        <w:tc>
          <w:tcPr>
            <w:tcW w:w="4232" w:type="dxa"/>
            <w:tcBorders>
              <w:top w:val="single" w:sz="4" w:space="0" w:color="7F7F7F" w:themeColor="text1" w:themeTint="80"/>
              <w:bottom w:val="single" w:sz="4" w:space="0" w:color="auto"/>
            </w:tcBorders>
            <w:noWrap/>
            <w:hideMark/>
          </w:tcPr>
          <w:p w14:paraId="1B3C42E9"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i/>
                <w:iCs/>
              </w:rPr>
            </w:pPr>
            <w:r w:rsidRPr="00F67DB2">
              <w:rPr>
                <w:i/>
                <w:iCs/>
              </w:rPr>
              <w:t>Weighted average spacecraft lifetime</w:t>
            </w:r>
          </w:p>
        </w:tc>
        <w:tc>
          <w:tcPr>
            <w:tcW w:w="1183" w:type="dxa"/>
            <w:tcBorders>
              <w:top w:val="single" w:sz="4" w:space="0" w:color="7F7F7F" w:themeColor="text1" w:themeTint="80"/>
              <w:bottom w:val="single" w:sz="4" w:space="0" w:color="auto"/>
            </w:tcBorders>
            <w:noWrap/>
            <w:hideMark/>
          </w:tcPr>
          <w:p w14:paraId="71DF9C50"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rPr>
                <w:i/>
                <w:iCs/>
              </w:rPr>
            </w:pPr>
          </w:p>
        </w:tc>
        <w:tc>
          <w:tcPr>
            <w:tcW w:w="890" w:type="dxa"/>
            <w:tcBorders>
              <w:top w:val="single" w:sz="4" w:space="0" w:color="7F7F7F" w:themeColor="text1" w:themeTint="80"/>
              <w:bottom w:val="single" w:sz="4" w:space="0" w:color="auto"/>
            </w:tcBorders>
            <w:noWrap/>
            <w:hideMark/>
          </w:tcPr>
          <w:p w14:paraId="2A7CA7B1" w14:textId="22344047" w:rsidR="00F67DB2" w:rsidRPr="00F67DB2" w:rsidRDefault="006E329F" w:rsidP="00F67DB2">
            <w:pPr>
              <w:jc w:val="center"/>
              <w:cnfStyle w:val="000000100000" w:firstRow="0" w:lastRow="0" w:firstColumn="0" w:lastColumn="0" w:oddVBand="0" w:evenVBand="0" w:oddHBand="1" w:evenHBand="0" w:firstRowFirstColumn="0" w:firstRowLastColumn="0" w:lastRowFirstColumn="0" w:lastRowLastColumn="0"/>
            </w:pPr>
            <w:r>
              <w:t>5</w:t>
            </w:r>
          </w:p>
        </w:tc>
        <w:tc>
          <w:tcPr>
            <w:tcW w:w="1167" w:type="dxa"/>
            <w:tcBorders>
              <w:top w:val="single" w:sz="4" w:space="0" w:color="7F7F7F" w:themeColor="text1" w:themeTint="80"/>
              <w:bottom w:val="single" w:sz="4" w:space="0" w:color="auto"/>
            </w:tcBorders>
            <w:noWrap/>
            <w:hideMark/>
          </w:tcPr>
          <w:p w14:paraId="0B3A0A18"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years</w:t>
            </w:r>
          </w:p>
        </w:tc>
      </w:tr>
      <w:tr w:rsidR="00F67DB2" w:rsidRPr="00F67DB2" w14:paraId="2C1CDC9A"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tcBorders>
              <w:top w:val="single" w:sz="4" w:space="0" w:color="auto"/>
            </w:tcBorders>
            <w:noWrap/>
            <w:hideMark/>
          </w:tcPr>
          <w:p w14:paraId="7CA315AB" w14:textId="5A1DE599" w:rsidR="00F67DB2" w:rsidRPr="00F67DB2" w:rsidRDefault="00F67DB2" w:rsidP="00F67DB2">
            <w:pPr>
              <w:rPr>
                <w:b/>
                <w:bCs/>
                <w:i w:val="0"/>
                <w:iCs w:val="0"/>
              </w:rPr>
            </w:pPr>
            <w:r w:rsidRPr="00F67DB2">
              <w:rPr>
                <w:b/>
                <w:bCs/>
                <w:i w:val="0"/>
                <w:iCs w:val="0"/>
              </w:rPr>
              <w:t>Shielding 5mm</w:t>
            </w:r>
          </w:p>
        </w:tc>
        <w:tc>
          <w:tcPr>
            <w:tcW w:w="5415" w:type="dxa"/>
            <w:gridSpan w:val="2"/>
            <w:tcBorders>
              <w:top w:val="single" w:sz="4" w:space="0" w:color="auto"/>
            </w:tcBorders>
            <w:noWrap/>
            <w:hideMark/>
          </w:tcPr>
          <w:p w14:paraId="17833078"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b/>
                <w:bCs/>
              </w:rPr>
            </w:pPr>
          </w:p>
        </w:tc>
        <w:tc>
          <w:tcPr>
            <w:tcW w:w="890" w:type="dxa"/>
            <w:tcBorders>
              <w:top w:val="single" w:sz="4" w:space="0" w:color="auto"/>
            </w:tcBorders>
            <w:noWrap/>
            <w:hideMark/>
          </w:tcPr>
          <w:p w14:paraId="1EE71BED"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c>
          <w:tcPr>
            <w:tcW w:w="1167" w:type="dxa"/>
            <w:tcBorders>
              <w:top w:val="single" w:sz="4" w:space="0" w:color="auto"/>
            </w:tcBorders>
            <w:noWrap/>
            <w:hideMark/>
          </w:tcPr>
          <w:p w14:paraId="23270CA5"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r>
      <w:tr w:rsidR="00F67DB2" w:rsidRPr="00F67DB2" w14:paraId="5BA0CB3C"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6A47BE6F" w14:textId="77777777" w:rsidR="00F67DB2" w:rsidRPr="00F67DB2" w:rsidRDefault="00F67DB2" w:rsidP="00F67DB2">
            <w:pPr>
              <w:rPr>
                <w:i w:val="0"/>
                <w:iCs w:val="0"/>
              </w:rPr>
            </w:pPr>
          </w:p>
        </w:tc>
        <w:tc>
          <w:tcPr>
            <w:tcW w:w="4232" w:type="dxa"/>
            <w:noWrap/>
            <w:hideMark/>
          </w:tcPr>
          <w:p w14:paraId="5D6194E5"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i/>
                <w:iCs/>
              </w:rPr>
            </w:pPr>
            <w:r w:rsidRPr="00F67DB2">
              <w:rPr>
                <w:i/>
                <w:iCs/>
              </w:rPr>
              <w:t>Cost of applying to population turning over in one year</w:t>
            </w:r>
          </w:p>
        </w:tc>
        <w:tc>
          <w:tcPr>
            <w:tcW w:w="1183" w:type="dxa"/>
            <w:noWrap/>
            <w:hideMark/>
          </w:tcPr>
          <w:p w14:paraId="0399F69A" w14:textId="72C1D9FC"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t>2</w:t>
            </w:r>
          </w:p>
        </w:tc>
        <w:tc>
          <w:tcPr>
            <w:tcW w:w="890" w:type="dxa"/>
            <w:noWrap/>
            <w:hideMark/>
          </w:tcPr>
          <w:p w14:paraId="44962A84"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c>
          <w:tcPr>
            <w:tcW w:w="1167" w:type="dxa"/>
            <w:noWrap/>
            <w:hideMark/>
          </w:tcPr>
          <w:p w14:paraId="4FE9E91D"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M$/year</w:t>
            </w:r>
          </w:p>
        </w:tc>
      </w:tr>
      <w:tr w:rsidR="00F67DB2" w:rsidRPr="00F67DB2" w14:paraId="4F447799"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2A1A47F" w14:textId="77777777" w:rsidR="00F67DB2" w:rsidRPr="00F67DB2" w:rsidRDefault="00F67DB2" w:rsidP="00F67DB2"/>
        </w:tc>
        <w:tc>
          <w:tcPr>
            <w:tcW w:w="4232" w:type="dxa"/>
            <w:tcBorders>
              <w:bottom w:val="single" w:sz="4" w:space="0" w:color="auto"/>
            </w:tcBorders>
            <w:noWrap/>
            <w:hideMark/>
          </w:tcPr>
          <w:p w14:paraId="4E3084F6"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b/>
                <w:bCs/>
              </w:rPr>
            </w:pPr>
            <w:r w:rsidRPr="00F67DB2">
              <w:rPr>
                <w:b/>
                <w:bCs/>
              </w:rPr>
              <w:t>Running cost</w:t>
            </w:r>
          </w:p>
        </w:tc>
        <w:tc>
          <w:tcPr>
            <w:tcW w:w="1183" w:type="dxa"/>
            <w:tcBorders>
              <w:bottom w:val="single" w:sz="4" w:space="0" w:color="auto"/>
            </w:tcBorders>
            <w:noWrap/>
            <w:hideMark/>
          </w:tcPr>
          <w:p w14:paraId="3669AFA1"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rPr>
                <w:b/>
                <w:bCs/>
              </w:rPr>
            </w:pPr>
          </w:p>
        </w:tc>
        <w:tc>
          <w:tcPr>
            <w:tcW w:w="890" w:type="dxa"/>
            <w:tcBorders>
              <w:bottom w:val="single" w:sz="4" w:space="0" w:color="auto"/>
            </w:tcBorders>
            <w:noWrap/>
            <w:hideMark/>
          </w:tcPr>
          <w:p w14:paraId="0F837A4C" w14:textId="1FE43E51"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t>2</w:t>
            </w:r>
          </w:p>
        </w:tc>
        <w:tc>
          <w:tcPr>
            <w:tcW w:w="1167" w:type="dxa"/>
            <w:tcBorders>
              <w:bottom w:val="single" w:sz="4" w:space="0" w:color="auto"/>
            </w:tcBorders>
            <w:noWrap/>
            <w:hideMark/>
          </w:tcPr>
          <w:p w14:paraId="41F78209"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M$/year</w:t>
            </w:r>
          </w:p>
        </w:tc>
      </w:tr>
      <w:tr w:rsidR="00F67DB2" w:rsidRPr="00F67DB2" w14:paraId="510D859A"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10AD0ABE" w14:textId="77777777" w:rsidR="00F67DB2" w:rsidRPr="00F67DB2" w:rsidRDefault="00F67DB2" w:rsidP="00F67DB2"/>
        </w:tc>
        <w:tc>
          <w:tcPr>
            <w:tcW w:w="4232" w:type="dxa"/>
            <w:tcBorders>
              <w:top w:val="single" w:sz="4" w:space="0" w:color="auto"/>
            </w:tcBorders>
            <w:noWrap/>
            <w:hideMark/>
          </w:tcPr>
          <w:p w14:paraId="5981CC8D"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i/>
                <w:iCs/>
              </w:rPr>
            </w:pPr>
            <w:r w:rsidRPr="00F67DB2">
              <w:rPr>
                <w:i/>
                <w:iCs/>
              </w:rPr>
              <w:t>Cost of applying to entire population</w:t>
            </w:r>
          </w:p>
        </w:tc>
        <w:tc>
          <w:tcPr>
            <w:tcW w:w="1183" w:type="dxa"/>
            <w:tcBorders>
              <w:top w:val="single" w:sz="4" w:space="0" w:color="auto"/>
            </w:tcBorders>
            <w:noWrap/>
            <w:hideMark/>
          </w:tcPr>
          <w:p w14:paraId="63911988" w14:textId="4AB928D6" w:rsidR="00F67DB2" w:rsidRPr="00F67DB2" w:rsidRDefault="00B36FFA" w:rsidP="00F67DB2">
            <w:pPr>
              <w:jc w:val="center"/>
              <w:cnfStyle w:val="000000100000" w:firstRow="0" w:lastRow="0" w:firstColumn="0" w:lastColumn="0" w:oddVBand="0" w:evenVBand="0" w:oddHBand="1" w:evenHBand="0" w:firstRowFirstColumn="0" w:firstRowLastColumn="0" w:lastRowFirstColumn="0" w:lastRowLastColumn="0"/>
            </w:pPr>
            <w:r>
              <w:t>8</w:t>
            </w:r>
          </w:p>
        </w:tc>
        <w:tc>
          <w:tcPr>
            <w:tcW w:w="890" w:type="dxa"/>
            <w:tcBorders>
              <w:top w:val="single" w:sz="4" w:space="0" w:color="auto"/>
            </w:tcBorders>
            <w:noWrap/>
            <w:hideMark/>
          </w:tcPr>
          <w:p w14:paraId="508D6E37"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c>
          <w:tcPr>
            <w:tcW w:w="1167" w:type="dxa"/>
            <w:tcBorders>
              <w:top w:val="single" w:sz="4" w:space="0" w:color="auto"/>
            </w:tcBorders>
            <w:noWrap/>
            <w:hideMark/>
          </w:tcPr>
          <w:p w14:paraId="5CCA1ED4"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w:t>
            </w:r>
          </w:p>
        </w:tc>
      </w:tr>
      <w:tr w:rsidR="00F67DB2" w:rsidRPr="00F67DB2" w14:paraId="6AAD732D"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tcBorders>
              <w:bottom w:val="single" w:sz="4" w:space="0" w:color="auto"/>
            </w:tcBorders>
            <w:noWrap/>
            <w:hideMark/>
          </w:tcPr>
          <w:p w14:paraId="0ECB55F1" w14:textId="77777777" w:rsidR="00F67DB2" w:rsidRPr="00F67DB2" w:rsidRDefault="00F67DB2" w:rsidP="00F67DB2"/>
        </w:tc>
        <w:tc>
          <w:tcPr>
            <w:tcW w:w="4232" w:type="dxa"/>
            <w:tcBorders>
              <w:bottom w:val="single" w:sz="4" w:space="0" w:color="auto"/>
            </w:tcBorders>
            <w:noWrap/>
            <w:hideMark/>
          </w:tcPr>
          <w:p w14:paraId="29ACAEBB"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b/>
                <w:bCs/>
              </w:rPr>
            </w:pPr>
            <w:r w:rsidRPr="00F67DB2">
              <w:rPr>
                <w:b/>
                <w:bCs/>
              </w:rPr>
              <w:t>Up-front cost</w:t>
            </w:r>
          </w:p>
        </w:tc>
        <w:tc>
          <w:tcPr>
            <w:tcW w:w="1183" w:type="dxa"/>
            <w:tcBorders>
              <w:bottom w:val="single" w:sz="4" w:space="0" w:color="auto"/>
            </w:tcBorders>
            <w:noWrap/>
            <w:hideMark/>
          </w:tcPr>
          <w:p w14:paraId="60B80DE7"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rPr>
                <w:b/>
                <w:bCs/>
              </w:rPr>
            </w:pPr>
          </w:p>
        </w:tc>
        <w:tc>
          <w:tcPr>
            <w:tcW w:w="890" w:type="dxa"/>
            <w:tcBorders>
              <w:bottom w:val="single" w:sz="4" w:space="0" w:color="auto"/>
            </w:tcBorders>
            <w:noWrap/>
            <w:hideMark/>
          </w:tcPr>
          <w:p w14:paraId="0FFA4C2F" w14:textId="5CCE7AD3" w:rsidR="00F67DB2" w:rsidRPr="00F67DB2" w:rsidRDefault="00B36FFA" w:rsidP="00F67DB2">
            <w:pPr>
              <w:jc w:val="center"/>
              <w:cnfStyle w:val="000000000000" w:firstRow="0" w:lastRow="0" w:firstColumn="0" w:lastColumn="0" w:oddVBand="0" w:evenVBand="0" w:oddHBand="0" w:evenHBand="0" w:firstRowFirstColumn="0" w:firstRowLastColumn="0" w:lastRowFirstColumn="0" w:lastRowLastColumn="0"/>
            </w:pPr>
            <w:r>
              <w:t>8</w:t>
            </w:r>
          </w:p>
        </w:tc>
        <w:tc>
          <w:tcPr>
            <w:tcW w:w="1167" w:type="dxa"/>
            <w:tcBorders>
              <w:bottom w:val="single" w:sz="4" w:space="0" w:color="auto"/>
            </w:tcBorders>
            <w:noWrap/>
            <w:hideMark/>
          </w:tcPr>
          <w:p w14:paraId="104964D2"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w:t>
            </w:r>
          </w:p>
        </w:tc>
      </w:tr>
      <w:tr w:rsidR="00F67DB2" w:rsidRPr="00F67DB2" w14:paraId="21EB452E"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tcBorders>
              <w:top w:val="single" w:sz="4" w:space="0" w:color="auto"/>
            </w:tcBorders>
            <w:noWrap/>
            <w:hideMark/>
          </w:tcPr>
          <w:p w14:paraId="1B28699B" w14:textId="19EC9CF4" w:rsidR="00F67DB2" w:rsidRPr="00F67DB2" w:rsidRDefault="00A044B9" w:rsidP="00F67DB2">
            <w:pPr>
              <w:rPr>
                <w:b/>
                <w:bCs/>
                <w:i w:val="0"/>
                <w:iCs w:val="0"/>
              </w:rPr>
            </w:pPr>
            <w:r>
              <w:rPr>
                <w:b/>
                <w:bCs/>
                <w:i w:val="0"/>
                <w:iCs w:val="0"/>
              </w:rPr>
              <w:t>Passivation</w:t>
            </w:r>
          </w:p>
        </w:tc>
        <w:tc>
          <w:tcPr>
            <w:tcW w:w="5415" w:type="dxa"/>
            <w:gridSpan w:val="2"/>
            <w:tcBorders>
              <w:top w:val="single" w:sz="4" w:space="0" w:color="auto"/>
            </w:tcBorders>
            <w:noWrap/>
            <w:hideMark/>
          </w:tcPr>
          <w:p w14:paraId="78681421"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pPr>
          </w:p>
        </w:tc>
        <w:tc>
          <w:tcPr>
            <w:tcW w:w="890" w:type="dxa"/>
            <w:tcBorders>
              <w:top w:val="single" w:sz="4" w:space="0" w:color="auto"/>
            </w:tcBorders>
            <w:noWrap/>
            <w:hideMark/>
          </w:tcPr>
          <w:p w14:paraId="4BD9385D"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c>
          <w:tcPr>
            <w:tcW w:w="1167" w:type="dxa"/>
            <w:tcBorders>
              <w:top w:val="single" w:sz="4" w:space="0" w:color="auto"/>
            </w:tcBorders>
            <w:noWrap/>
            <w:hideMark/>
          </w:tcPr>
          <w:p w14:paraId="675423B8"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r>
      <w:tr w:rsidR="00F67DB2" w:rsidRPr="00F67DB2" w14:paraId="6FEE3960"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9C9A870" w14:textId="77777777" w:rsidR="00F67DB2" w:rsidRPr="00F67DB2" w:rsidRDefault="00F67DB2" w:rsidP="00F67DB2"/>
        </w:tc>
        <w:tc>
          <w:tcPr>
            <w:tcW w:w="4232" w:type="dxa"/>
            <w:noWrap/>
            <w:hideMark/>
          </w:tcPr>
          <w:p w14:paraId="284FA968"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i/>
                <w:iCs/>
              </w:rPr>
            </w:pPr>
            <w:r w:rsidRPr="00F67DB2">
              <w:rPr>
                <w:i/>
                <w:iCs/>
              </w:rPr>
              <w:t>Cost of applying to population turning over in one year</w:t>
            </w:r>
          </w:p>
        </w:tc>
        <w:tc>
          <w:tcPr>
            <w:tcW w:w="1183" w:type="dxa"/>
            <w:noWrap/>
            <w:hideMark/>
          </w:tcPr>
          <w:p w14:paraId="1322B0A8" w14:textId="730B9ECC"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5</w:t>
            </w:r>
            <w:r w:rsidR="000A5F02">
              <w:t>5</w:t>
            </w:r>
          </w:p>
        </w:tc>
        <w:tc>
          <w:tcPr>
            <w:tcW w:w="890" w:type="dxa"/>
            <w:noWrap/>
            <w:hideMark/>
          </w:tcPr>
          <w:p w14:paraId="34DFE783"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c>
          <w:tcPr>
            <w:tcW w:w="1167" w:type="dxa"/>
            <w:noWrap/>
            <w:hideMark/>
          </w:tcPr>
          <w:p w14:paraId="0CC15533"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M$/year</w:t>
            </w:r>
          </w:p>
        </w:tc>
      </w:tr>
      <w:tr w:rsidR="00F67DB2" w:rsidRPr="00F67DB2" w14:paraId="7FF5017B"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11C0C64" w14:textId="77777777" w:rsidR="00F67DB2" w:rsidRPr="00F67DB2" w:rsidRDefault="00F67DB2" w:rsidP="00F67DB2"/>
        </w:tc>
        <w:tc>
          <w:tcPr>
            <w:tcW w:w="4232" w:type="dxa"/>
            <w:tcBorders>
              <w:bottom w:val="single" w:sz="4" w:space="0" w:color="auto"/>
            </w:tcBorders>
            <w:noWrap/>
            <w:hideMark/>
          </w:tcPr>
          <w:p w14:paraId="4C141D30"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b/>
                <w:bCs/>
              </w:rPr>
            </w:pPr>
            <w:r w:rsidRPr="00F67DB2">
              <w:rPr>
                <w:b/>
                <w:bCs/>
              </w:rPr>
              <w:t>Running cost</w:t>
            </w:r>
          </w:p>
        </w:tc>
        <w:tc>
          <w:tcPr>
            <w:tcW w:w="1183" w:type="dxa"/>
            <w:tcBorders>
              <w:bottom w:val="single" w:sz="4" w:space="0" w:color="auto"/>
            </w:tcBorders>
            <w:noWrap/>
            <w:hideMark/>
          </w:tcPr>
          <w:p w14:paraId="3AB09181"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rPr>
                <w:b/>
                <w:bCs/>
              </w:rPr>
            </w:pPr>
          </w:p>
        </w:tc>
        <w:tc>
          <w:tcPr>
            <w:tcW w:w="890" w:type="dxa"/>
            <w:tcBorders>
              <w:bottom w:val="single" w:sz="4" w:space="0" w:color="auto"/>
            </w:tcBorders>
            <w:noWrap/>
            <w:hideMark/>
          </w:tcPr>
          <w:p w14:paraId="22CADE41" w14:textId="3BA8A373"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5</w:t>
            </w:r>
            <w:r w:rsidR="000A5F02">
              <w:t>5</w:t>
            </w:r>
          </w:p>
        </w:tc>
        <w:tc>
          <w:tcPr>
            <w:tcW w:w="1167" w:type="dxa"/>
            <w:tcBorders>
              <w:bottom w:val="single" w:sz="4" w:space="0" w:color="auto"/>
            </w:tcBorders>
            <w:noWrap/>
            <w:hideMark/>
          </w:tcPr>
          <w:p w14:paraId="5BBD15AA"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M$/year</w:t>
            </w:r>
          </w:p>
        </w:tc>
      </w:tr>
      <w:tr w:rsidR="00F67DB2" w:rsidRPr="00F67DB2" w14:paraId="6635A5F4"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7546CD02" w14:textId="77777777" w:rsidR="00F67DB2" w:rsidRPr="00F67DB2" w:rsidRDefault="00F67DB2" w:rsidP="00F67DB2"/>
        </w:tc>
        <w:tc>
          <w:tcPr>
            <w:tcW w:w="4232" w:type="dxa"/>
            <w:tcBorders>
              <w:top w:val="single" w:sz="4" w:space="0" w:color="auto"/>
            </w:tcBorders>
            <w:noWrap/>
            <w:hideMark/>
          </w:tcPr>
          <w:p w14:paraId="3833B333"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i/>
                <w:iCs/>
              </w:rPr>
            </w:pPr>
            <w:r w:rsidRPr="00F67DB2">
              <w:rPr>
                <w:i/>
                <w:iCs/>
              </w:rPr>
              <w:t>Cost of applying to entire population</w:t>
            </w:r>
          </w:p>
        </w:tc>
        <w:tc>
          <w:tcPr>
            <w:tcW w:w="1183" w:type="dxa"/>
            <w:tcBorders>
              <w:top w:val="single" w:sz="4" w:space="0" w:color="auto"/>
            </w:tcBorders>
            <w:noWrap/>
            <w:hideMark/>
          </w:tcPr>
          <w:p w14:paraId="326E6D8A" w14:textId="68EAFD32" w:rsidR="00F67DB2" w:rsidRPr="00F67DB2" w:rsidRDefault="00392E54" w:rsidP="00F67DB2">
            <w:pPr>
              <w:jc w:val="center"/>
              <w:cnfStyle w:val="000000000000" w:firstRow="0" w:lastRow="0" w:firstColumn="0" w:lastColumn="0" w:oddVBand="0" w:evenVBand="0" w:oddHBand="0" w:evenHBand="0" w:firstRowFirstColumn="0" w:firstRowLastColumn="0" w:lastRowFirstColumn="0" w:lastRowLastColumn="0"/>
            </w:pPr>
            <w:r>
              <w:t>275</w:t>
            </w:r>
          </w:p>
        </w:tc>
        <w:tc>
          <w:tcPr>
            <w:tcW w:w="890" w:type="dxa"/>
            <w:tcBorders>
              <w:top w:val="single" w:sz="4" w:space="0" w:color="auto"/>
            </w:tcBorders>
            <w:noWrap/>
            <w:hideMark/>
          </w:tcPr>
          <w:p w14:paraId="516D21F2"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c>
          <w:tcPr>
            <w:tcW w:w="1167" w:type="dxa"/>
            <w:tcBorders>
              <w:top w:val="single" w:sz="4" w:space="0" w:color="auto"/>
            </w:tcBorders>
            <w:noWrap/>
            <w:hideMark/>
          </w:tcPr>
          <w:p w14:paraId="62BC2072"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w:t>
            </w:r>
          </w:p>
        </w:tc>
      </w:tr>
      <w:tr w:rsidR="00F67DB2" w:rsidRPr="00F67DB2" w14:paraId="11C74466"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tcBorders>
              <w:bottom w:val="single" w:sz="4" w:space="0" w:color="auto"/>
            </w:tcBorders>
            <w:noWrap/>
            <w:hideMark/>
          </w:tcPr>
          <w:p w14:paraId="332C7B1A" w14:textId="77777777" w:rsidR="00F67DB2" w:rsidRPr="00F67DB2" w:rsidRDefault="00F67DB2" w:rsidP="00F67DB2"/>
        </w:tc>
        <w:tc>
          <w:tcPr>
            <w:tcW w:w="4232" w:type="dxa"/>
            <w:tcBorders>
              <w:bottom w:val="single" w:sz="4" w:space="0" w:color="auto"/>
            </w:tcBorders>
            <w:noWrap/>
            <w:hideMark/>
          </w:tcPr>
          <w:p w14:paraId="4C7B58C8"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b/>
                <w:bCs/>
              </w:rPr>
            </w:pPr>
            <w:r w:rsidRPr="00F67DB2">
              <w:rPr>
                <w:b/>
                <w:bCs/>
              </w:rPr>
              <w:t>Up-front cost</w:t>
            </w:r>
          </w:p>
        </w:tc>
        <w:tc>
          <w:tcPr>
            <w:tcW w:w="1183" w:type="dxa"/>
            <w:tcBorders>
              <w:bottom w:val="single" w:sz="4" w:space="0" w:color="auto"/>
            </w:tcBorders>
            <w:noWrap/>
            <w:hideMark/>
          </w:tcPr>
          <w:p w14:paraId="3309BD4F"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rPr>
                <w:b/>
                <w:bCs/>
              </w:rPr>
            </w:pPr>
          </w:p>
        </w:tc>
        <w:tc>
          <w:tcPr>
            <w:tcW w:w="890" w:type="dxa"/>
            <w:tcBorders>
              <w:bottom w:val="single" w:sz="4" w:space="0" w:color="auto"/>
            </w:tcBorders>
            <w:noWrap/>
            <w:hideMark/>
          </w:tcPr>
          <w:p w14:paraId="17B05293" w14:textId="26124FF1" w:rsidR="00F67DB2" w:rsidRPr="00F67DB2" w:rsidRDefault="00392E54" w:rsidP="00F67DB2">
            <w:pPr>
              <w:jc w:val="center"/>
              <w:cnfStyle w:val="000000100000" w:firstRow="0" w:lastRow="0" w:firstColumn="0" w:lastColumn="0" w:oddVBand="0" w:evenVBand="0" w:oddHBand="1" w:evenHBand="0" w:firstRowFirstColumn="0" w:firstRowLastColumn="0" w:lastRowFirstColumn="0" w:lastRowLastColumn="0"/>
            </w:pPr>
            <w:r>
              <w:t>275</w:t>
            </w:r>
          </w:p>
        </w:tc>
        <w:tc>
          <w:tcPr>
            <w:tcW w:w="1167" w:type="dxa"/>
            <w:tcBorders>
              <w:bottom w:val="single" w:sz="4" w:space="0" w:color="auto"/>
            </w:tcBorders>
            <w:noWrap/>
            <w:hideMark/>
          </w:tcPr>
          <w:p w14:paraId="625C80D5"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w:t>
            </w:r>
          </w:p>
        </w:tc>
      </w:tr>
      <w:tr w:rsidR="00F67DB2" w:rsidRPr="00F67DB2" w14:paraId="1CBA0905"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tcBorders>
              <w:top w:val="single" w:sz="4" w:space="0" w:color="auto"/>
            </w:tcBorders>
            <w:noWrap/>
            <w:hideMark/>
          </w:tcPr>
          <w:p w14:paraId="2497A871" w14:textId="77777777" w:rsidR="00F67DB2" w:rsidRPr="00F67DB2" w:rsidRDefault="00F67DB2" w:rsidP="00F67DB2">
            <w:pPr>
              <w:rPr>
                <w:b/>
                <w:bCs/>
                <w:i w:val="0"/>
                <w:iCs w:val="0"/>
              </w:rPr>
            </w:pPr>
            <w:r w:rsidRPr="00F67DB2">
              <w:rPr>
                <w:b/>
                <w:bCs/>
                <w:i w:val="0"/>
                <w:iCs w:val="0"/>
              </w:rPr>
              <w:t>5-year PMD</w:t>
            </w:r>
          </w:p>
        </w:tc>
        <w:tc>
          <w:tcPr>
            <w:tcW w:w="4232" w:type="dxa"/>
            <w:tcBorders>
              <w:top w:val="single" w:sz="4" w:space="0" w:color="auto"/>
            </w:tcBorders>
            <w:noWrap/>
            <w:hideMark/>
          </w:tcPr>
          <w:p w14:paraId="6925B10B"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pPr>
          </w:p>
        </w:tc>
        <w:tc>
          <w:tcPr>
            <w:tcW w:w="1183" w:type="dxa"/>
            <w:tcBorders>
              <w:top w:val="single" w:sz="4" w:space="0" w:color="auto"/>
            </w:tcBorders>
            <w:noWrap/>
            <w:hideMark/>
          </w:tcPr>
          <w:p w14:paraId="6605E376"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c>
          <w:tcPr>
            <w:tcW w:w="890" w:type="dxa"/>
            <w:tcBorders>
              <w:top w:val="single" w:sz="4" w:space="0" w:color="auto"/>
            </w:tcBorders>
            <w:noWrap/>
            <w:hideMark/>
          </w:tcPr>
          <w:p w14:paraId="0AF4185C"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c>
          <w:tcPr>
            <w:tcW w:w="1167" w:type="dxa"/>
            <w:tcBorders>
              <w:top w:val="single" w:sz="4" w:space="0" w:color="auto"/>
            </w:tcBorders>
            <w:noWrap/>
            <w:hideMark/>
          </w:tcPr>
          <w:p w14:paraId="515749E0"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r>
      <w:tr w:rsidR="00F67DB2" w:rsidRPr="00F67DB2" w14:paraId="518FA0BE"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7F8B4D9" w14:textId="77777777" w:rsidR="00F67DB2" w:rsidRPr="00F67DB2" w:rsidRDefault="00F67DB2" w:rsidP="00F67DB2"/>
        </w:tc>
        <w:tc>
          <w:tcPr>
            <w:tcW w:w="4232" w:type="dxa"/>
            <w:noWrap/>
            <w:hideMark/>
          </w:tcPr>
          <w:p w14:paraId="0B3EACDF"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i/>
                <w:iCs/>
              </w:rPr>
            </w:pPr>
            <w:r w:rsidRPr="00F67DB2">
              <w:rPr>
                <w:i/>
                <w:iCs/>
              </w:rPr>
              <w:t>Cost of applying to population turning over in one year</w:t>
            </w:r>
          </w:p>
        </w:tc>
        <w:tc>
          <w:tcPr>
            <w:tcW w:w="1183" w:type="dxa"/>
            <w:noWrap/>
            <w:hideMark/>
          </w:tcPr>
          <w:p w14:paraId="7E7A97C9" w14:textId="6A21BDE5" w:rsidR="00F67DB2" w:rsidRPr="00F67DB2" w:rsidRDefault="000A5F02" w:rsidP="00F67DB2">
            <w:pPr>
              <w:jc w:val="center"/>
              <w:cnfStyle w:val="000000100000" w:firstRow="0" w:lastRow="0" w:firstColumn="0" w:lastColumn="0" w:oddVBand="0" w:evenVBand="0" w:oddHBand="1" w:evenHBand="0" w:firstRowFirstColumn="0" w:firstRowLastColumn="0" w:lastRowFirstColumn="0" w:lastRowLastColumn="0"/>
            </w:pPr>
            <w:r>
              <w:t>2</w:t>
            </w:r>
          </w:p>
        </w:tc>
        <w:tc>
          <w:tcPr>
            <w:tcW w:w="890" w:type="dxa"/>
            <w:noWrap/>
            <w:hideMark/>
          </w:tcPr>
          <w:p w14:paraId="401E03BD"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c>
          <w:tcPr>
            <w:tcW w:w="1167" w:type="dxa"/>
            <w:noWrap/>
            <w:hideMark/>
          </w:tcPr>
          <w:p w14:paraId="5A823DF4"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M$/year</w:t>
            </w:r>
          </w:p>
        </w:tc>
      </w:tr>
      <w:tr w:rsidR="00F67DB2" w:rsidRPr="00F67DB2" w14:paraId="06EC3A9A"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E167078" w14:textId="77777777" w:rsidR="00F67DB2" w:rsidRPr="00F67DB2" w:rsidRDefault="00F67DB2" w:rsidP="00F67DB2"/>
        </w:tc>
        <w:tc>
          <w:tcPr>
            <w:tcW w:w="4232" w:type="dxa"/>
            <w:tcBorders>
              <w:bottom w:val="single" w:sz="4" w:space="0" w:color="auto"/>
            </w:tcBorders>
            <w:noWrap/>
            <w:hideMark/>
          </w:tcPr>
          <w:p w14:paraId="0DE55E19"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b/>
                <w:bCs/>
              </w:rPr>
            </w:pPr>
            <w:r w:rsidRPr="00F67DB2">
              <w:rPr>
                <w:b/>
                <w:bCs/>
              </w:rPr>
              <w:t>Running cost</w:t>
            </w:r>
          </w:p>
        </w:tc>
        <w:tc>
          <w:tcPr>
            <w:tcW w:w="1183" w:type="dxa"/>
            <w:tcBorders>
              <w:bottom w:val="single" w:sz="4" w:space="0" w:color="auto"/>
            </w:tcBorders>
            <w:noWrap/>
            <w:hideMark/>
          </w:tcPr>
          <w:p w14:paraId="3357A8E5"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rPr>
                <w:b/>
                <w:bCs/>
              </w:rPr>
            </w:pPr>
          </w:p>
        </w:tc>
        <w:tc>
          <w:tcPr>
            <w:tcW w:w="890" w:type="dxa"/>
            <w:tcBorders>
              <w:bottom w:val="single" w:sz="4" w:space="0" w:color="auto"/>
            </w:tcBorders>
            <w:noWrap/>
            <w:hideMark/>
          </w:tcPr>
          <w:p w14:paraId="44F71B6E" w14:textId="3EF1A20A" w:rsidR="00F67DB2" w:rsidRPr="00F67DB2" w:rsidRDefault="000A5F02" w:rsidP="00F67DB2">
            <w:pPr>
              <w:jc w:val="center"/>
              <w:cnfStyle w:val="000000000000" w:firstRow="0" w:lastRow="0" w:firstColumn="0" w:lastColumn="0" w:oddVBand="0" w:evenVBand="0" w:oddHBand="0" w:evenHBand="0" w:firstRowFirstColumn="0" w:firstRowLastColumn="0" w:lastRowFirstColumn="0" w:lastRowLastColumn="0"/>
            </w:pPr>
            <w:r>
              <w:t>2</w:t>
            </w:r>
          </w:p>
        </w:tc>
        <w:tc>
          <w:tcPr>
            <w:tcW w:w="1167" w:type="dxa"/>
            <w:tcBorders>
              <w:bottom w:val="single" w:sz="4" w:space="0" w:color="auto"/>
            </w:tcBorders>
            <w:noWrap/>
            <w:hideMark/>
          </w:tcPr>
          <w:p w14:paraId="56E41451"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M$/year</w:t>
            </w:r>
          </w:p>
        </w:tc>
      </w:tr>
      <w:tr w:rsidR="00F67DB2" w:rsidRPr="00F67DB2" w14:paraId="1C09DA24"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F90CAE3" w14:textId="77777777" w:rsidR="00F67DB2" w:rsidRPr="00F67DB2" w:rsidRDefault="00F67DB2" w:rsidP="00F67DB2"/>
        </w:tc>
        <w:tc>
          <w:tcPr>
            <w:tcW w:w="4232" w:type="dxa"/>
            <w:tcBorders>
              <w:top w:val="single" w:sz="4" w:space="0" w:color="auto"/>
            </w:tcBorders>
            <w:noWrap/>
            <w:hideMark/>
          </w:tcPr>
          <w:p w14:paraId="60C42EFE"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i/>
                <w:iCs/>
              </w:rPr>
            </w:pPr>
            <w:r w:rsidRPr="00F67DB2">
              <w:rPr>
                <w:i/>
                <w:iCs/>
              </w:rPr>
              <w:t>Cost of applying to entire population</w:t>
            </w:r>
          </w:p>
        </w:tc>
        <w:tc>
          <w:tcPr>
            <w:tcW w:w="1183" w:type="dxa"/>
            <w:tcBorders>
              <w:top w:val="single" w:sz="4" w:space="0" w:color="auto"/>
            </w:tcBorders>
            <w:noWrap/>
            <w:hideMark/>
          </w:tcPr>
          <w:p w14:paraId="614BBFE1" w14:textId="14F5CD0B" w:rsidR="00F67DB2" w:rsidRPr="00F67DB2" w:rsidRDefault="00392E54" w:rsidP="00F67DB2">
            <w:pPr>
              <w:jc w:val="center"/>
              <w:cnfStyle w:val="000000100000" w:firstRow="0" w:lastRow="0" w:firstColumn="0" w:lastColumn="0" w:oddVBand="0" w:evenVBand="0" w:oddHBand="1" w:evenHBand="0" w:firstRowFirstColumn="0" w:firstRowLastColumn="0" w:lastRowFirstColumn="0" w:lastRowLastColumn="0"/>
            </w:pPr>
            <w:r>
              <w:t>8</w:t>
            </w:r>
          </w:p>
        </w:tc>
        <w:tc>
          <w:tcPr>
            <w:tcW w:w="890" w:type="dxa"/>
            <w:tcBorders>
              <w:top w:val="single" w:sz="4" w:space="0" w:color="auto"/>
            </w:tcBorders>
            <w:noWrap/>
            <w:hideMark/>
          </w:tcPr>
          <w:p w14:paraId="320D1360"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c>
          <w:tcPr>
            <w:tcW w:w="1167" w:type="dxa"/>
            <w:tcBorders>
              <w:top w:val="single" w:sz="4" w:space="0" w:color="auto"/>
            </w:tcBorders>
            <w:noWrap/>
            <w:hideMark/>
          </w:tcPr>
          <w:p w14:paraId="3AAD0E49"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w:t>
            </w:r>
          </w:p>
        </w:tc>
      </w:tr>
      <w:tr w:rsidR="00F67DB2" w:rsidRPr="00F67DB2" w14:paraId="67266468"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tcBorders>
              <w:bottom w:val="single" w:sz="4" w:space="0" w:color="auto"/>
            </w:tcBorders>
            <w:noWrap/>
            <w:hideMark/>
          </w:tcPr>
          <w:p w14:paraId="410265D4" w14:textId="77777777" w:rsidR="00F67DB2" w:rsidRPr="00F67DB2" w:rsidRDefault="00F67DB2" w:rsidP="00F67DB2"/>
        </w:tc>
        <w:tc>
          <w:tcPr>
            <w:tcW w:w="4232" w:type="dxa"/>
            <w:tcBorders>
              <w:bottom w:val="single" w:sz="4" w:space="0" w:color="auto"/>
            </w:tcBorders>
            <w:noWrap/>
            <w:hideMark/>
          </w:tcPr>
          <w:p w14:paraId="14094C30"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b/>
                <w:bCs/>
              </w:rPr>
            </w:pPr>
            <w:r w:rsidRPr="00F67DB2">
              <w:rPr>
                <w:b/>
                <w:bCs/>
              </w:rPr>
              <w:t>Up-front cost</w:t>
            </w:r>
          </w:p>
        </w:tc>
        <w:tc>
          <w:tcPr>
            <w:tcW w:w="1183" w:type="dxa"/>
            <w:tcBorders>
              <w:bottom w:val="single" w:sz="4" w:space="0" w:color="auto"/>
            </w:tcBorders>
            <w:noWrap/>
            <w:hideMark/>
          </w:tcPr>
          <w:p w14:paraId="43BC7C91"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rPr>
                <w:b/>
                <w:bCs/>
              </w:rPr>
            </w:pPr>
          </w:p>
        </w:tc>
        <w:tc>
          <w:tcPr>
            <w:tcW w:w="890" w:type="dxa"/>
            <w:tcBorders>
              <w:bottom w:val="single" w:sz="4" w:space="0" w:color="auto"/>
            </w:tcBorders>
            <w:noWrap/>
            <w:hideMark/>
          </w:tcPr>
          <w:p w14:paraId="3103AA2F" w14:textId="74DBCFD8" w:rsidR="00F67DB2" w:rsidRPr="00F67DB2" w:rsidRDefault="00392E54" w:rsidP="00F67DB2">
            <w:pPr>
              <w:jc w:val="center"/>
              <w:cnfStyle w:val="000000000000" w:firstRow="0" w:lastRow="0" w:firstColumn="0" w:lastColumn="0" w:oddVBand="0" w:evenVBand="0" w:oddHBand="0" w:evenHBand="0" w:firstRowFirstColumn="0" w:firstRowLastColumn="0" w:lastRowFirstColumn="0" w:lastRowLastColumn="0"/>
            </w:pPr>
            <w:r>
              <w:t>8</w:t>
            </w:r>
          </w:p>
        </w:tc>
        <w:tc>
          <w:tcPr>
            <w:tcW w:w="1167" w:type="dxa"/>
            <w:tcBorders>
              <w:bottom w:val="single" w:sz="4" w:space="0" w:color="auto"/>
            </w:tcBorders>
            <w:noWrap/>
            <w:hideMark/>
          </w:tcPr>
          <w:p w14:paraId="74A488F0"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w:t>
            </w:r>
          </w:p>
        </w:tc>
      </w:tr>
      <w:tr w:rsidR="00F67DB2" w:rsidRPr="00F67DB2" w14:paraId="6175EEDB"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tcBorders>
              <w:top w:val="single" w:sz="4" w:space="0" w:color="auto"/>
            </w:tcBorders>
            <w:noWrap/>
            <w:hideMark/>
          </w:tcPr>
          <w:p w14:paraId="46E6E856" w14:textId="77777777" w:rsidR="00F67DB2" w:rsidRPr="00F67DB2" w:rsidRDefault="00F67DB2" w:rsidP="00F67DB2">
            <w:pPr>
              <w:rPr>
                <w:b/>
                <w:bCs/>
                <w:i w:val="0"/>
                <w:iCs w:val="0"/>
              </w:rPr>
            </w:pPr>
            <w:r w:rsidRPr="00F67DB2">
              <w:rPr>
                <w:b/>
                <w:bCs/>
                <w:i w:val="0"/>
                <w:iCs w:val="0"/>
              </w:rPr>
              <w:t>0-year PMD</w:t>
            </w:r>
          </w:p>
        </w:tc>
        <w:tc>
          <w:tcPr>
            <w:tcW w:w="4232" w:type="dxa"/>
            <w:tcBorders>
              <w:top w:val="single" w:sz="4" w:space="0" w:color="auto"/>
            </w:tcBorders>
            <w:noWrap/>
            <w:hideMark/>
          </w:tcPr>
          <w:p w14:paraId="236BFD11"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pPr>
          </w:p>
        </w:tc>
        <w:tc>
          <w:tcPr>
            <w:tcW w:w="1183" w:type="dxa"/>
            <w:tcBorders>
              <w:top w:val="single" w:sz="4" w:space="0" w:color="auto"/>
            </w:tcBorders>
            <w:noWrap/>
            <w:hideMark/>
          </w:tcPr>
          <w:p w14:paraId="00D83625"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c>
          <w:tcPr>
            <w:tcW w:w="890" w:type="dxa"/>
            <w:tcBorders>
              <w:top w:val="single" w:sz="4" w:space="0" w:color="auto"/>
            </w:tcBorders>
            <w:noWrap/>
            <w:hideMark/>
          </w:tcPr>
          <w:p w14:paraId="01A1C911"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c>
          <w:tcPr>
            <w:tcW w:w="1167" w:type="dxa"/>
            <w:tcBorders>
              <w:top w:val="single" w:sz="4" w:space="0" w:color="auto"/>
            </w:tcBorders>
            <w:noWrap/>
            <w:hideMark/>
          </w:tcPr>
          <w:p w14:paraId="36AB3751"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p>
        </w:tc>
      </w:tr>
      <w:tr w:rsidR="00F67DB2" w:rsidRPr="00F67DB2" w14:paraId="304838AE"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45943A5" w14:textId="77777777" w:rsidR="00F67DB2" w:rsidRPr="00F67DB2" w:rsidRDefault="00F67DB2" w:rsidP="00F67DB2"/>
        </w:tc>
        <w:tc>
          <w:tcPr>
            <w:tcW w:w="4232" w:type="dxa"/>
            <w:noWrap/>
            <w:hideMark/>
          </w:tcPr>
          <w:p w14:paraId="6F84BC9F"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i/>
                <w:iCs/>
              </w:rPr>
            </w:pPr>
            <w:r w:rsidRPr="00F67DB2">
              <w:rPr>
                <w:i/>
                <w:iCs/>
              </w:rPr>
              <w:t>Cost of applying to population turning over in one year</w:t>
            </w:r>
          </w:p>
        </w:tc>
        <w:tc>
          <w:tcPr>
            <w:tcW w:w="1183" w:type="dxa"/>
            <w:noWrap/>
            <w:hideMark/>
          </w:tcPr>
          <w:p w14:paraId="52451BFE" w14:textId="56A05D35"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4</w:t>
            </w:r>
          </w:p>
        </w:tc>
        <w:tc>
          <w:tcPr>
            <w:tcW w:w="890" w:type="dxa"/>
            <w:noWrap/>
            <w:hideMark/>
          </w:tcPr>
          <w:p w14:paraId="404FBF42"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c>
          <w:tcPr>
            <w:tcW w:w="1167" w:type="dxa"/>
            <w:noWrap/>
            <w:hideMark/>
          </w:tcPr>
          <w:p w14:paraId="4E69149A"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M$/year</w:t>
            </w:r>
          </w:p>
        </w:tc>
      </w:tr>
      <w:tr w:rsidR="00F67DB2" w:rsidRPr="00F67DB2" w14:paraId="50354315"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DB331CB" w14:textId="77777777" w:rsidR="00F67DB2" w:rsidRPr="00F67DB2" w:rsidRDefault="00F67DB2" w:rsidP="00F67DB2"/>
        </w:tc>
        <w:tc>
          <w:tcPr>
            <w:tcW w:w="4232" w:type="dxa"/>
            <w:tcBorders>
              <w:bottom w:val="single" w:sz="4" w:space="0" w:color="auto"/>
            </w:tcBorders>
            <w:noWrap/>
            <w:hideMark/>
          </w:tcPr>
          <w:p w14:paraId="3E8A16A2"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b/>
                <w:bCs/>
              </w:rPr>
            </w:pPr>
            <w:r w:rsidRPr="00F67DB2">
              <w:rPr>
                <w:b/>
                <w:bCs/>
              </w:rPr>
              <w:t>Running cost</w:t>
            </w:r>
          </w:p>
        </w:tc>
        <w:tc>
          <w:tcPr>
            <w:tcW w:w="1183" w:type="dxa"/>
            <w:tcBorders>
              <w:bottom w:val="single" w:sz="4" w:space="0" w:color="auto"/>
            </w:tcBorders>
            <w:noWrap/>
            <w:hideMark/>
          </w:tcPr>
          <w:p w14:paraId="52930F2E"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rPr>
                <w:b/>
                <w:bCs/>
              </w:rPr>
            </w:pPr>
          </w:p>
        </w:tc>
        <w:tc>
          <w:tcPr>
            <w:tcW w:w="890" w:type="dxa"/>
            <w:tcBorders>
              <w:bottom w:val="single" w:sz="4" w:space="0" w:color="auto"/>
            </w:tcBorders>
            <w:noWrap/>
            <w:hideMark/>
          </w:tcPr>
          <w:p w14:paraId="6EBA38BE" w14:textId="46DA7BFB"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4</w:t>
            </w:r>
          </w:p>
        </w:tc>
        <w:tc>
          <w:tcPr>
            <w:tcW w:w="1167" w:type="dxa"/>
            <w:tcBorders>
              <w:bottom w:val="single" w:sz="4" w:space="0" w:color="auto"/>
            </w:tcBorders>
            <w:noWrap/>
            <w:hideMark/>
          </w:tcPr>
          <w:p w14:paraId="791FB37A"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M$/year</w:t>
            </w:r>
          </w:p>
        </w:tc>
      </w:tr>
      <w:tr w:rsidR="00F67DB2" w:rsidRPr="00F67DB2" w14:paraId="63345599" w14:textId="77777777" w:rsidTr="002F100E">
        <w:trPr>
          <w:trHeight w:val="320"/>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65B6EE5" w14:textId="77777777" w:rsidR="00F67DB2" w:rsidRPr="00F67DB2" w:rsidRDefault="00F67DB2" w:rsidP="00F67DB2"/>
        </w:tc>
        <w:tc>
          <w:tcPr>
            <w:tcW w:w="4232" w:type="dxa"/>
            <w:tcBorders>
              <w:top w:val="single" w:sz="4" w:space="0" w:color="auto"/>
            </w:tcBorders>
            <w:noWrap/>
            <w:hideMark/>
          </w:tcPr>
          <w:p w14:paraId="1CBA211C" w14:textId="77777777" w:rsidR="00F67DB2" w:rsidRPr="00F67DB2" w:rsidRDefault="00F67DB2" w:rsidP="00F67DB2">
            <w:pPr>
              <w:jc w:val="right"/>
              <w:cnfStyle w:val="000000000000" w:firstRow="0" w:lastRow="0" w:firstColumn="0" w:lastColumn="0" w:oddVBand="0" w:evenVBand="0" w:oddHBand="0" w:evenHBand="0" w:firstRowFirstColumn="0" w:firstRowLastColumn="0" w:lastRowFirstColumn="0" w:lastRowLastColumn="0"/>
              <w:rPr>
                <w:i/>
                <w:iCs/>
              </w:rPr>
            </w:pPr>
            <w:r w:rsidRPr="00F67DB2">
              <w:rPr>
                <w:i/>
                <w:iCs/>
              </w:rPr>
              <w:t>Cost of applying to entire population</w:t>
            </w:r>
          </w:p>
        </w:tc>
        <w:tc>
          <w:tcPr>
            <w:tcW w:w="1183" w:type="dxa"/>
            <w:tcBorders>
              <w:top w:val="single" w:sz="4" w:space="0" w:color="auto"/>
            </w:tcBorders>
            <w:noWrap/>
            <w:hideMark/>
          </w:tcPr>
          <w:p w14:paraId="2B94E173" w14:textId="2FC4C7D2"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2</w:t>
            </w:r>
            <w:r w:rsidR="00392E54">
              <w:t>0</w:t>
            </w:r>
          </w:p>
        </w:tc>
        <w:tc>
          <w:tcPr>
            <w:tcW w:w="890" w:type="dxa"/>
            <w:tcBorders>
              <w:top w:val="single" w:sz="4" w:space="0" w:color="auto"/>
            </w:tcBorders>
            <w:noWrap/>
            <w:hideMark/>
          </w:tcPr>
          <w:p w14:paraId="0999CE0D"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p>
        </w:tc>
        <w:tc>
          <w:tcPr>
            <w:tcW w:w="1167" w:type="dxa"/>
            <w:tcBorders>
              <w:top w:val="single" w:sz="4" w:space="0" w:color="auto"/>
            </w:tcBorders>
            <w:noWrap/>
            <w:hideMark/>
          </w:tcPr>
          <w:p w14:paraId="6C8270F5" w14:textId="77777777" w:rsidR="00F67DB2" w:rsidRPr="00F67DB2" w:rsidRDefault="00F67DB2" w:rsidP="00F67DB2">
            <w:pPr>
              <w:jc w:val="center"/>
              <w:cnfStyle w:val="000000000000" w:firstRow="0" w:lastRow="0" w:firstColumn="0" w:lastColumn="0" w:oddVBand="0" w:evenVBand="0" w:oddHBand="0" w:evenHBand="0" w:firstRowFirstColumn="0" w:firstRowLastColumn="0" w:lastRowFirstColumn="0" w:lastRowLastColumn="0"/>
            </w:pPr>
            <w:r w:rsidRPr="00F67DB2">
              <w:t>M$</w:t>
            </w:r>
          </w:p>
        </w:tc>
      </w:tr>
      <w:tr w:rsidR="00F67DB2" w:rsidRPr="00F67DB2" w14:paraId="4E48C820" w14:textId="77777777" w:rsidTr="002F10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88" w:type="dxa"/>
            <w:tcBorders>
              <w:bottom w:val="single" w:sz="4" w:space="0" w:color="auto"/>
            </w:tcBorders>
            <w:noWrap/>
            <w:hideMark/>
          </w:tcPr>
          <w:p w14:paraId="69C4AC51" w14:textId="77777777" w:rsidR="00F67DB2" w:rsidRPr="00F67DB2" w:rsidRDefault="00F67DB2" w:rsidP="00F67DB2"/>
        </w:tc>
        <w:tc>
          <w:tcPr>
            <w:tcW w:w="4232" w:type="dxa"/>
            <w:tcBorders>
              <w:bottom w:val="single" w:sz="4" w:space="0" w:color="auto"/>
            </w:tcBorders>
            <w:noWrap/>
            <w:hideMark/>
          </w:tcPr>
          <w:p w14:paraId="3913822F" w14:textId="77777777" w:rsidR="00F67DB2" w:rsidRPr="00F67DB2" w:rsidRDefault="00F67DB2" w:rsidP="00F67DB2">
            <w:pPr>
              <w:jc w:val="right"/>
              <w:cnfStyle w:val="000000100000" w:firstRow="0" w:lastRow="0" w:firstColumn="0" w:lastColumn="0" w:oddVBand="0" w:evenVBand="0" w:oddHBand="1" w:evenHBand="0" w:firstRowFirstColumn="0" w:firstRowLastColumn="0" w:lastRowFirstColumn="0" w:lastRowLastColumn="0"/>
              <w:rPr>
                <w:b/>
                <w:bCs/>
              </w:rPr>
            </w:pPr>
            <w:r w:rsidRPr="00F67DB2">
              <w:rPr>
                <w:b/>
                <w:bCs/>
              </w:rPr>
              <w:t>Up-front cost</w:t>
            </w:r>
          </w:p>
        </w:tc>
        <w:tc>
          <w:tcPr>
            <w:tcW w:w="1183" w:type="dxa"/>
            <w:tcBorders>
              <w:bottom w:val="single" w:sz="4" w:space="0" w:color="auto"/>
            </w:tcBorders>
            <w:noWrap/>
            <w:hideMark/>
          </w:tcPr>
          <w:p w14:paraId="3C7607FC"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rPr>
                <w:b/>
                <w:bCs/>
              </w:rPr>
            </w:pPr>
          </w:p>
        </w:tc>
        <w:tc>
          <w:tcPr>
            <w:tcW w:w="890" w:type="dxa"/>
            <w:tcBorders>
              <w:bottom w:val="single" w:sz="4" w:space="0" w:color="auto"/>
            </w:tcBorders>
            <w:noWrap/>
            <w:hideMark/>
          </w:tcPr>
          <w:p w14:paraId="171D3042" w14:textId="4BD799CB"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2</w:t>
            </w:r>
            <w:r w:rsidR="00392E54">
              <w:t>0</w:t>
            </w:r>
          </w:p>
        </w:tc>
        <w:tc>
          <w:tcPr>
            <w:tcW w:w="1167" w:type="dxa"/>
            <w:tcBorders>
              <w:bottom w:val="single" w:sz="4" w:space="0" w:color="auto"/>
            </w:tcBorders>
            <w:noWrap/>
            <w:hideMark/>
          </w:tcPr>
          <w:p w14:paraId="55D1020E" w14:textId="77777777" w:rsidR="00F67DB2" w:rsidRPr="00F67DB2" w:rsidRDefault="00F67DB2" w:rsidP="00F67DB2">
            <w:pPr>
              <w:jc w:val="center"/>
              <w:cnfStyle w:val="000000100000" w:firstRow="0" w:lastRow="0" w:firstColumn="0" w:lastColumn="0" w:oddVBand="0" w:evenVBand="0" w:oddHBand="1" w:evenHBand="0" w:firstRowFirstColumn="0" w:firstRowLastColumn="0" w:lastRowFirstColumn="0" w:lastRowLastColumn="0"/>
            </w:pPr>
            <w:r w:rsidRPr="00F67DB2">
              <w:t>M$</w:t>
            </w:r>
          </w:p>
        </w:tc>
      </w:tr>
    </w:tbl>
    <w:p w14:paraId="4041F0F4" w14:textId="77777777" w:rsidR="00D700A9" w:rsidRPr="00B134E4" w:rsidRDefault="00D700A9" w:rsidP="00B134E4"/>
    <w:p w14:paraId="54452E9C" w14:textId="579C46EA" w:rsidR="00293F96" w:rsidRDefault="001A69B2" w:rsidP="001A69B2">
      <w:pPr>
        <w:pStyle w:val="Heading2"/>
      </w:pPr>
      <w:bookmarkStart w:id="32" w:name="_Toc192166320"/>
      <w:r>
        <w:t>Remediation</w:t>
      </w:r>
      <w:r w:rsidR="00293F96">
        <w:t xml:space="preserve"> actions</w:t>
      </w:r>
      <w:bookmarkEnd w:id="32"/>
    </w:p>
    <w:p w14:paraId="3757AE31" w14:textId="77777777" w:rsidR="004944E8" w:rsidRDefault="001F058F" w:rsidP="00C57275">
      <w:r>
        <w:t>The Phase 1</w:t>
      </w:r>
      <w:r w:rsidR="009C0D8E">
        <w:t xml:space="preserve"> and Phase 2</w:t>
      </w:r>
      <w:r>
        <w:t xml:space="preserve"> report</w:t>
      </w:r>
      <w:r w:rsidR="009C0D8E">
        <w:t>s</w:t>
      </w:r>
      <w:r>
        <w:t xml:space="preserve"> provide the basis of our estimates of the cost of remediation actions. </w:t>
      </w:r>
      <w:r w:rsidR="00642558">
        <w:t xml:space="preserve">We focus on </w:t>
      </w:r>
      <w:r w:rsidR="00AB2DD4">
        <w:t>four types of actions (</w:t>
      </w:r>
      <w:r w:rsidR="00B641D0">
        <w:t xml:space="preserve">“Dust mm debris removal”, “ADR”, </w:t>
      </w:r>
      <w:r w:rsidR="00AB2DD4">
        <w:t>“Laser JCA”, “Laser cm debris removal”</w:t>
      </w:r>
      <w:r w:rsidR="00906BBF">
        <w:t>).</w:t>
      </w:r>
      <w:r w:rsidR="002011BA">
        <w:t xml:space="preserve"> While Laser JCA and Laser cm debris removal are both assumed to use the same type of system</w:t>
      </w:r>
      <w:r w:rsidR="00974AF8">
        <w:t xml:space="preserve"> and could in principle be conducted from the same facility (economizing on total cost)</w:t>
      </w:r>
      <w:r w:rsidR="002011BA">
        <w:t xml:space="preserve">, we treat them as distinct entities for </w:t>
      </w:r>
      <w:r w:rsidR="00C37CE4">
        <w:t>constructing portfolio costs</w:t>
      </w:r>
      <w:r w:rsidR="00974AF8">
        <w:t>.</w:t>
      </w:r>
      <w:r w:rsidR="00B641D0">
        <w:t xml:space="preserve"> </w:t>
      </w:r>
    </w:p>
    <w:p w14:paraId="0B6ACDE5" w14:textId="1B69726E" w:rsidR="004944E8" w:rsidRDefault="00B641D0" w:rsidP="00581647">
      <w:pPr>
        <w:ind w:firstLine="360"/>
      </w:pPr>
      <w:r>
        <w:t xml:space="preserve">Dust deployment is </w:t>
      </w:r>
      <w:r w:rsidR="00AC51B5">
        <w:t xml:space="preserve">assumed to involve </w:t>
      </w:r>
      <w:r w:rsidR="00B8236F">
        <w:t xml:space="preserve">the release of 20 tons </w:t>
      </w:r>
      <w:r w:rsidR="00B8236F" w:rsidRPr="008F74B4">
        <w:t>of</w:t>
      </w:r>
      <w:r w:rsidR="00C407FF" w:rsidRPr="008F74B4">
        <w:t xml:space="preserve"> </w:t>
      </w:r>
      <w:r w:rsidR="00E83E41" w:rsidRPr="00581647">
        <w:t>60-micron</w:t>
      </w:r>
      <w:r w:rsidR="00B8236F" w:rsidRPr="008F74B4">
        <w:t xml:space="preserve"> </w:t>
      </w:r>
      <w:r w:rsidR="000C3569" w:rsidRPr="008F74B4">
        <w:t>tungsten</w:t>
      </w:r>
      <w:r w:rsidR="000C3569">
        <w:t xml:space="preserve"> particles </w:t>
      </w:r>
      <w:r w:rsidR="00C407FF">
        <w:t>at an altitude of 1,100 km</w:t>
      </w:r>
      <w:r w:rsidR="00252248">
        <w:t xml:space="preserve">, which </w:t>
      </w:r>
      <w:r w:rsidR="00EF184C">
        <w:t xml:space="preserve">would impact millimeter-size debris </w:t>
      </w:r>
      <w:r w:rsidR="00642E4E">
        <w:t>and lower their orbit. As the dust</w:t>
      </w:r>
      <w:r w:rsidR="00BD0E46">
        <w:t>’s orbit</w:t>
      </w:r>
      <w:r w:rsidR="00642E4E">
        <w:t xml:space="preserve"> decays, it acts as a “s</w:t>
      </w:r>
      <w:r w:rsidR="00BD0E46">
        <w:t>weeper</w:t>
      </w:r>
      <w:r w:rsidR="00642E4E">
        <w:t>”</w:t>
      </w:r>
      <w:r w:rsidR="00BD0E46">
        <w:t xml:space="preserve"> and </w:t>
      </w:r>
      <w:r w:rsidR="00E83E41">
        <w:t>removes the millimeter-size debris it encounters.</w:t>
      </w:r>
      <w:r w:rsidR="00B21507">
        <w:t xml:space="preserve"> As mentioned in the main text, the dust is assumed to be deployed only once</w:t>
      </w:r>
      <w:r w:rsidR="00136061">
        <w:t xml:space="preserve"> during the analysis horizon, and so has no running costs.</w:t>
      </w:r>
      <w:r w:rsidR="00E83E41">
        <w:t xml:space="preserve"> </w:t>
      </w:r>
    </w:p>
    <w:p w14:paraId="03F4A399" w14:textId="5B3F3BF7" w:rsidR="00C57275" w:rsidRDefault="00E83E41" w:rsidP="00581647">
      <w:pPr>
        <w:ind w:firstLine="360"/>
      </w:pPr>
      <w:r>
        <w:t xml:space="preserve">ADR is </w:t>
      </w:r>
      <w:r w:rsidR="00BB75F0">
        <w:t xml:space="preserve">based on the OrbitFab-inspired architecture studied in Phase 1. It is </w:t>
      </w:r>
      <w:r w:rsidR="00D8371E">
        <w:t xml:space="preserve">assumed to involve a tug that </w:t>
      </w:r>
      <w:r w:rsidR="00713868">
        <w:t xml:space="preserve">grabs large objects and brings them down to an altitude of 350 km, from where they </w:t>
      </w:r>
      <w:r w:rsidR="0096467A">
        <w:t>re-enter without further control. The tug then returns to a depot where it refuels</w:t>
      </w:r>
      <w:r w:rsidR="00B21507">
        <w:t xml:space="preserve"> and prepares to</w:t>
      </w:r>
      <w:r w:rsidR="00136061">
        <w:t xml:space="preserve"> execute another mission. We assume a single tug can remove up to 5 large debris objects per year, and that the tug </w:t>
      </w:r>
      <w:r w:rsidR="0010704F">
        <w:t>has a 15-year life</w:t>
      </w:r>
      <w:r w:rsidR="00136061">
        <w:t>.</w:t>
      </w:r>
      <w:r w:rsidR="0010704F">
        <w:t xml:space="preserve"> We also assume that the depot is capable of storing 15 years</w:t>
      </w:r>
      <w:r w:rsidR="004944E8">
        <w:t>’</w:t>
      </w:r>
      <w:r w:rsidR="0010704F">
        <w:t xml:space="preserve"> worth of fuel on orbit.</w:t>
      </w:r>
      <w:r w:rsidR="00065447">
        <w:t xml:space="preserve"> The original architecture considered in Phase 1 involved 7 tugs; we have scaled the relevant items to reflect a single tug.</w:t>
      </w:r>
    </w:p>
    <w:p w14:paraId="3085623B" w14:textId="10C61AF4" w:rsidR="00AD50EC" w:rsidRDefault="00AD50EC" w:rsidP="00581647">
      <w:pPr>
        <w:ind w:firstLine="360"/>
      </w:pPr>
      <w:r>
        <w:t xml:space="preserve">Laser cm debris removal and Laser JCA both involve </w:t>
      </w:r>
      <w:r w:rsidR="00FC1341">
        <w:t>facilities with a</w:t>
      </w:r>
      <w:r w:rsidR="00050390">
        <w:t>n acquisition system to acquire a target</w:t>
      </w:r>
      <w:r w:rsidR="00CC6D17">
        <w:t xml:space="preserve">, a laser generator to produce the </w:t>
      </w:r>
      <w:r w:rsidR="00FB08FF">
        <w:t xml:space="preserve">pulsed </w:t>
      </w:r>
      <w:r w:rsidR="00CC6D17">
        <w:t xml:space="preserve">laser beam, and a telescope to focus </w:t>
      </w:r>
      <w:r w:rsidR="00CC6D17">
        <w:lastRenderedPageBreak/>
        <w:t>the laser and strike the target.</w:t>
      </w:r>
      <w:r w:rsidR="00FC1341">
        <w:t xml:space="preserve"> The </w:t>
      </w:r>
      <w:r w:rsidR="002B4EB8">
        <w:t xml:space="preserve">telescope may require advanced adaptive optics to correct for </w:t>
      </w:r>
      <w:r w:rsidR="00464D99">
        <w:t>atmospheric dis</w:t>
      </w:r>
      <w:r w:rsidR="00050390">
        <w:t>tortions.</w:t>
      </w:r>
      <w:r w:rsidR="00F14A1C">
        <w:t xml:space="preserve"> For small debris removal, the </w:t>
      </w:r>
      <w:r w:rsidR="00DC75D3">
        <w:t xml:space="preserve">system would </w:t>
      </w:r>
      <w:r w:rsidR="00A16F70">
        <w:t>target</w:t>
      </w:r>
      <w:r w:rsidR="00DC75D3">
        <w:t xml:space="preserve"> </w:t>
      </w:r>
      <w:r w:rsidR="00A16F70">
        <w:t>debris that may pose a significant risk to spacecraft or human spaceflight or else</w:t>
      </w:r>
      <w:r w:rsidR="00EA3D9D">
        <w:t xml:space="preserve"> go after</w:t>
      </w:r>
      <w:r w:rsidR="00A16F70">
        <w:t xml:space="preserve"> targets of opportunity. </w:t>
      </w:r>
      <w:r w:rsidR="00EA3D9D">
        <w:t>Once a target was selected and handover from acquisition to telescope was complete, t</w:t>
      </w:r>
      <w:r w:rsidR="00A16F70">
        <w:t xml:space="preserve">he </w:t>
      </w:r>
      <w:r w:rsidR="00F14A1C">
        <w:t>laser would impart enough energy to ablate a small amount of material on the target</w:t>
      </w:r>
      <w:r w:rsidR="00833D90">
        <w:t>, which would generate thrust that reduces the target’s orbital lifetime.</w:t>
      </w:r>
      <w:r w:rsidR="00D60E75">
        <w:t xml:space="preserve"> As mentioned in the main text, we assume the </w:t>
      </w:r>
      <w:r w:rsidR="009D39ED">
        <w:t>laser system can remove up to 50,000 pieces of cm-sized debris per year.</w:t>
      </w:r>
      <w:r w:rsidR="00833D90">
        <w:t xml:space="preserve"> For JCA, the </w:t>
      </w:r>
      <w:r w:rsidR="00DC75D3">
        <w:t xml:space="preserve">system would </w:t>
      </w:r>
      <w:r w:rsidR="00454008">
        <w:t xml:space="preserve">target debris </w:t>
      </w:r>
      <w:r w:rsidR="00041CB0">
        <w:t xml:space="preserve">involved in a predicted conjunction or could continuously tend the orbits of a prioritized subset of debris. Once a target </w:t>
      </w:r>
      <w:r w:rsidR="0056003A">
        <w:t xml:space="preserve">is identified and uncertainty in the </w:t>
      </w:r>
      <w:r w:rsidR="00E81BF0">
        <w:t xml:space="preserve">object’s orbit has been minimized (e.g., through use of the same laser system at lower power levels) the </w:t>
      </w:r>
      <w:r w:rsidR="006A1759">
        <w:t xml:space="preserve">laser </w:t>
      </w:r>
      <w:r w:rsidR="00424A36">
        <w:t>would impart enough energy to cause ablation, altering the object’s orbit and averting a collision</w:t>
      </w:r>
      <w:r w:rsidR="00157766">
        <w:t>.</w:t>
      </w:r>
    </w:p>
    <w:p w14:paraId="4E64218D" w14:textId="4298C67A" w:rsidR="009C0D8E" w:rsidRDefault="009C0D8E" w:rsidP="00581647">
      <w:pPr>
        <w:ind w:firstLine="360"/>
      </w:pPr>
      <w:r>
        <w:t>Further details on the CONOPS and assumed efficac</w:t>
      </w:r>
      <w:r w:rsidR="009D310D">
        <w:t>y</w:t>
      </w:r>
      <w:r>
        <w:t xml:space="preserve"> of the dust action is described in Appendix B of the Phase 2 report </w:t>
      </w:r>
      <w:sdt>
        <w:sdtPr>
          <w:id w:val="2014408388"/>
          <w:citation/>
        </w:sdtPr>
        <w:sdtEndPr/>
        <w:sdtContent>
          <w:r>
            <w:fldChar w:fldCharType="begin"/>
          </w:r>
          <w:r>
            <w:instrText xml:space="preserve"> CITATION Loc24 \l 1033 </w:instrText>
          </w:r>
          <w:r>
            <w:fldChar w:fldCharType="separate"/>
          </w:r>
          <w:r w:rsidR="00A466B0">
            <w:rPr>
              <w:noProof/>
            </w:rPr>
            <w:t>(Locke, et al. 2024)</w:t>
          </w:r>
          <w:r>
            <w:fldChar w:fldCharType="end"/>
          </w:r>
        </w:sdtContent>
      </w:sdt>
      <w:r>
        <w:t>.</w:t>
      </w:r>
      <w:r w:rsidR="009D310D">
        <w:t xml:space="preserve"> Further details on the CONOPS and assumed efficacy of</w:t>
      </w:r>
      <w:r w:rsidR="00AF5174">
        <w:t xml:space="preserve"> the Laser cm debris removal action</w:t>
      </w:r>
      <w:r w:rsidR="009D310D">
        <w:t xml:space="preserve"> is described in</w:t>
      </w:r>
      <w:r w:rsidR="000F507D">
        <w:t xml:space="preserve"> Appendix </w:t>
      </w:r>
      <w:r w:rsidR="00AF5174">
        <w:t>B</w:t>
      </w:r>
      <w:r w:rsidR="000F507D">
        <w:t xml:space="preserve"> of the Phase 1 report, </w:t>
      </w:r>
      <w:r w:rsidR="005C235C">
        <w:t xml:space="preserve">and </w:t>
      </w:r>
      <w:r w:rsidR="000F507D">
        <w:t xml:space="preserve">of the </w:t>
      </w:r>
      <w:r w:rsidR="005C235C">
        <w:t>Laser JCA and ADR action</w:t>
      </w:r>
      <w:r w:rsidR="00AF5174">
        <w:t>s</w:t>
      </w:r>
      <w:r w:rsidR="005C235C">
        <w:t xml:space="preserve"> in Appendix C of the Phase 1 report</w:t>
      </w:r>
      <w:r w:rsidR="00AF5174">
        <w:t>.</w:t>
      </w:r>
    </w:p>
    <w:p w14:paraId="0CB05FF0" w14:textId="17D639DA" w:rsidR="00A30287" w:rsidRDefault="00A30287" w:rsidP="00581647">
      <w:pPr>
        <w:ind w:firstLine="360"/>
      </w:pPr>
      <w:r>
        <w:t xml:space="preserve">Table </w:t>
      </w:r>
      <w:r w:rsidR="00AD02FD">
        <w:t xml:space="preserve">9 </w:t>
      </w:r>
      <w:r>
        <w:t xml:space="preserve">describes the cost elements and estimates for the </w:t>
      </w:r>
      <w:r w:rsidR="00903036">
        <w:t>dust deployment system</w:t>
      </w:r>
      <w:r>
        <w:t xml:space="preserve">, Table </w:t>
      </w:r>
      <w:r w:rsidR="00AD02FD">
        <w:t xml:space="preserve">10 </w:t>
      </w:r>
      <w:r>
        <w:t xml:space="preserve">describes the cost elements and estimates for the </w:t>
      </w:r>
      <w:r w:rsidR="00903036">
        <w:t xml:space="preserve">ADR system, and Table </w:t>
      </w:r>
      <w:r w:rsidR="00AD02FD">
        <w:t xml:space="preserve">11 </w:t>
      </w:r>
      <w:r w:rsidR="00903036">
        <w:t xml:space="preserve">describes the cost elements and estimates for the laser system used for JCA </w:t>
      </w:r>
      <w:r w:rsidR="00AD02FD">
        <w:t xml:space="preserve">or </w:t>
      </w:r>
      <w:r w:rsidR="00903036">
        <w:t>small debris removal</w:t>
      </w:r>
      <w:r>
        <w:t>. All costs are rounded up to the nearest million dollars.</w:t>
      </w:r>
    </w:p>
    <w:p w14:paraId="69227C0B" w14:textId="77777777" w:rsidR="00E308D4" w:rsidRDefault="00E308D4" w:rsidP="00E308D4">
      <w:pPr>
        <w:jc w:val="center"/>
      </w:pPr>
    </w:p>
    <w:p w14:paraId="323D0988" w14:textId="645CFD8E" w:rsidR="00E308D4" w:rsidRPr="00581647" w:rsidRDefault="00E308D4" w:rsidP="00581647">
      <w:pPr>
        <w:rPr>
          <w:i/>
          <w:iCs/>
          <w:color w:val="0B3D91" w:themeColor="accent1"/>
          <w:sz w:val="18"/>
          <w:szCs w:val="18"/>
        </w:rPr>
      </w:pPr>
      <w:r w:rsidRPr="00581647">
        <w:rPr>
          <w:i/>
          <w:iCs/>
          <w:color w:val="0B3D91" w:themeColor="accent1"/>
          <w:sz w:val="18"/>
          <w:szCs w:val="18"/>
        </w:rPr>
        <w:t xml:space="preserve">Table </w:t>
      </w:r>
      <w:r w:rsidRPr="00581647">
        <w:rPr>
          <w:i/>
          <w:iCs/>
          <w:color w:val="0B3D91" w:themeColor="accent1"/>
          <w:sz w:val="18"/>
          <w:szCs w:val="18"/>
        </w:rPr>
        <w:fldChar w:fldCharType="begin"/>
      </w:r>
      <w:r w:rsidRPr="00581647">
        <w:rPr>
          <w:i/>
          <w:iCs/>
          <w:color w:val="0B3D91" w:themeColor="accent1"/>
          <w:sz w:val="18"/>
          <w:szCs w:val="18"/>
        </w:rPr>
        <w:instrText xml:space="preserve"> SEQ Table \* ARABIC </w:instrText>
      </w:r>
      <w:r w:rsidRPr="00581647">
        <w:rPr>
          <w:i/>
          <w:iCs/>
          <w:color w:val="0B3D91" w:themeColor="accent1"/>
          <w:sz w:val="18"/>
          <w:szCs w:val="18"/>
        </w:rPr>
        <w:fldChar w:fldCharType="separate"/>
      </w:r>
      <w:r w:rsidR="001F0D0C">
        <w:rPr>
          <w:i/>
          <w:iCs/>
          <w:noProof/>
          <w:color w:val="0B3D91" w:themeColor="accent1"/>
          <w:sz w:val="18"/>
          <w:szCs w:val="18"/>
        </w:rPr>
        <w:t>9</w:t>
      </w:r>
      <w:r w:rsidRPr="00581647">
        <w:rPr>
          <w:i/>
          <w:iCs/>
          <w:color w:val="0B3D91" w:themeColor="accent1"/>
          <w:sz w:val="18"/>
          <w:szCs w:val="18"/>
        </w:rPr>
        <w:fldChar w:fldCharType="end"/>
      </w:r>
      <w:r w:rsidRPr="00581647">
        <w:rPr>
          <w:i/>
          <w:iCs/>
          <w:color w:val="0B3D91" w:themeColor="accent1"/>
          <w:sz w:val="18"/>
          <w:szCs w:val="18"/>
        </w:rPr>
        <w:t>: Costs for a dust deployment system</w:t>
      </w:r>
    </w:p>
    <w:tbl>
      <w:tblPr>
        <w:tblStyle w:val="PlainTable5"/>
        <w:tblW w:w="0" w:type="auto"/>
        <w:tblLook w:val="04A0" w:firstRow="1" w:lastRow="0" w:firstColumn="1" w:lastColumn="0" w:noHBand="0" w:noVBand="1"/>
      </w:tblPr>
      <w:tblGrid>
        <w:gridCol w:w="3041"/>
        <w:gridCol w:w="1099"/>
        <w:gridCol w:w="1440"/>
        <w:gridCol w:w="1350"/>
        <w:gridCol w:w="2430"/>
      </w:tblGrid>
      <w:tr w:rsidR="00AF22F6" w:rsidRPr="00AF22F6" w14:paraId="6168066F" w14:textId="77777777" w:rsidTr="00AF22F6">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3041" w:type="dxa"/>
            <w:noWrap/>
            <w:hideMark/>
          </w:tcPr>
          <w:p w14:paraId="631422C6" w14:textId="77777777" w:rsidR="00AF22F6" w:rsidRPr="002F100E" w:rsidRDefault="00AF22F6" w:rsidP="00AF22F6">
            <w:pPr>
              <w:spacing w:before="192"/>
              <w:jc w:val="center"/>
              <w:rPr>
                <w:b/>
                <w:bCs/>
                <w:i w:val="0"/>
                <w:iCs w:val="0"/>
              </w:rPr>
            </w:pPr>
            <w:r w:rsidRPr="002F100E">
              <w:rPr>
                <w:b/>
                <w:bCs/>
                <w:i w:val="0"/>
                <w:iCs w:val="0"/>
              </w:rPr>
              <w:t>Line item</w:t>
            </w:r>
          </w:p>
        </w:tc>
        <w:tc>
          <w:tcPr>
            <w:tcW w:w="1099" w:type="dxa"/>
            <w:noWrap/>
            <w:hideMark/>
          </w:tcPr>
          <w:p w14:paraId="1687034A" w14:textId="77777777" w:rsidR="00AF22F6" w:rsidRPr="002F100E" w:rsidRDefault="00AF22F6" w:rsidP="00AF22F6">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Element</w:t>
            </w:r>
          </w:p>
        </w:tc>
        <w:tc>
          <w:tcPr>
            <w:tcW w:w="1440" w:type="dxa"/>
            <w:noWrap/>
            <w:hideMark/>
          </w:tcPr>
          <w:p w14:paraId="5495DCF0" w14:textId="2059198A" w:rsidR="00AF22F6" w:rsidRPr="002F100E" w:rsidRDefault="00AF22F6" w:rsidP="00AF22F6">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Subtotal</w:t>
            </w:r>
          </w:p>
        </w:tc>
        <w:tc>
          <w:tcPr>
            <w:tcW w:w="1350" w:type="dxa"/>
            <w:noWrap/>
            <w:hideMark/>
          </w:tcPr>
          <w:p w14:paraId="1449BFBA" w14:textId="1535969B" w:rsidR="00AF22F6" w:rsidRPr="002F100E" w:rsidRDefault="00AF22F6" w:rsidP="00AF22F6">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Total</w:t>
            </w:r>
          </w:p>
        </w:tc>
        <w:tc>
          <w:tcPr>
            <w:tcW w:w="2430" w:type="dxa"/>
            <w:noWrap/>
            <w:hideMark/>
          </w:tcPr>
          <w:p w14:paraId="6C4D028F" w14:textId="77777777" w:rsidR="00AF22F6" w:rsidRPr="002F100E" w:rsidRDefault="00AF22F6" w:rsidP="00AF22F6">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Unit</w:t>
            </w:r>
          </w:p>
        </w:tc>
      </w:tr>
      <w:tr w:rsidR="00AF22F6" w:rsidRPr="00AF22F6" w14:paraId="2DCE2175" w14:textId="77777777" w:rsidTr="00AF22F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1" w:type="dxa"/>
            <w:noWrap/>
            <w:hideMark/>
          </w:tcPr>
          <w:p w14:paraId="6ECBAC1C" w14:textId="77777777" w:rsidR="00AF22F6" w:rsidRPr="00204695" w:rsidRDefault="00AF22F6" w:rsidP="00AF22F6">
            <w:r w:rsidRPr="00204695">
              <w:t>Spacecraft cost</w:t>
            </w:r>
          </w:p>
        </w:tc>
        <w:tc>
          <w:tcPr>
            <w:tcW w:w="1099" w:type="dxa"/>
            <w:noWrap/>
            <w:hideMark/>
          </w:tcPr>
          <w:p w14:paraId="16969B92" w14:textId="3B099DCA"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r w:rsidRPr="00AF22F6">
              <w:t>1</w:t>
            </w:r>
            <w:r w:rsidR="00CB76FE">
              <w:t>94</w:t>
            </w:r>
          </w:p>
        </w:tc>
        <w:tc>
          <w:tcPr>
            <w:tcW w:w="1440" w:type="dxa"/>
            <w:noWrap/>
            <w:hideMark/>
          </w:tcPr>
          <w:p w14:paraId="2ADAEB02"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1350" w:type="dxa"/>
            <w:noWrap/>
            <w:hideMark/>
          </w:tcPr>
          <w:p w14:paraId="2B7683B2"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2430" w:type="dxa"/>
            <w:noWrap/>
            <w:hideMark/>
          </w:tcPr>
          <w:p w14:paraId="7CA70094"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r w:rsidRPr="00AF22F6">
              <w:t>M$/spacecraft</w:t>
            </w:r>
          </w:p>
        </w:tc>
      </w:tr>
      <w:tr w:rsidR="00AF22F6" w:rsidRPr="00AF22F6" w14:paraId="619DABAB" w14:textId="77777777" w:rsidTr="00AF22F6">
        <w:trPr>
          <w:trHeight w:val="320"/>
        </w:trPr>
        <w:tc>
          <w:tcPr>
            <w:cnfStyle w:val="001000000000" w:firstRow="0" w:lastRow="0" w:firstColumn="1" w:lastColumn="0" w:oddVBand="0" w:evenVBand="0" w:oddHBand="0" w:evenHBand="0" w:firstRowFirstColumn="0" w:firstRowLastColumn="0" w:lastRowFirstColumn="0" w:lastRowLastColumn="0"/>
            <w:tcW w:w="3041" w:type="dxa"/>
            <w:noWrap/>
            <w:hideMark/>
          </w:tcPr>
          <w:p w14:paraId="57E64A5D" w14:textId="61F474C8" w:rsidR="00204695" w:rsidRPr="00204695" w:rsidRDefault="00204695" w:rsidP="00204695">
            <w:r w:rsidRPr="00204695">
              <w:t>Dust shield cost</w:t>
            </w:r>
          </w:p>
        </w:tc>
        <w:tc>
          <w:tcPr>
            <w:tcW w:w="1099" w:type="dxa"/>
            <w:noWrap/>
            <w:hideMark/>
          </w:tcPr>
          <w:p w14:paraId="38BFA8DA" w14:textId="61366E63" w:rsidR="00AF22F6" w:rsidRPr="00AF22F6" w:rsidRDefault="00204695" w:rsidP="00AF22F6">
            <w:pPr>
              <w:jc w:val="center"/>
              <w:cnfStyle w:val="000000000000" w:firstRow="0" w:lastRow="0" w:firstColumn="0" w:lastColumn="0" w:oddVBand="0" w:evenVBand="0" w:oddHBand="0" w:evenHBand="0" w:firstRowFirstColumn="0" w:firstRowLastColumn="0" w:lastRowFirstColumn="0" w:lastRowLastColumn="0"/>
            </w:pPr>
            <w:r>
              <w:t>2</w:t>
            </w:r>
          </w:p>
        </w:tc>
        <w:tc>
          <w:tcPr>
            <w:tcW w:w="1440" w:type="dxa"/>
            <w:noWrap/>
            <w:hideMark/>
          </w:tcPr>
          <w:p w14:paraId="2BBD8F95"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p>
        </w:tc>
        <w:tc>
          <w:tcPr>
            <w:tcW w:w="1350" w:type="dxa"/>
            <w:noWrap/>
            <w:hideMark/>
          </w:tcPr>
          <w:p w14:paraId="223A1F8C"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p>
        </w:tc>
        <w:tc>
          <w:tcPr>
            <w:tcW w:w="2430" w:type="dxa"/>
            <w:noWrap/>
            <w:hideMark/>
          </w:tcPr>
          <w:p w14:paraId="2AD8FE39" w14:textId="28EEC4F7" w:rsidR="00AF22F6" w:rsidRPr="00AF22F6" w:rsidRDefault="00204695" w:rsidP="00AF22F6">
            <w:pPr>
              <w:jc w:val="center"/>
              <w:cnfStyle w:val="000000000000" w:firstRow="0" w:lastRow="0" w:firstColumn="0" w:lastColumn="0" w:oddVBand="0" w:evenVBand="0" w:oddHBand="0" w:evenHBand="0" w:firstRowFirstColumn="0" w:firstRowLastColumn="0" w:lastRowFirstColumn="0" w:lastRowLastColumn="0"/>
            </w:pPr>
            <w:r>
              <w:t>M$</w:t>
            </w:r>
          </w:p>
        </w:tc>
      </w:tr>
      <w:tr w:rsidR="00AF22F6" w:rsidRPr="00AF22F6" w14:paraId="2FBDB23C" w14:textId="77777777" w:rsidTr="0020469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1" w:type="dxa"/>
            <w:noWrap/>
            <w:hideMark/>
          </w:tcPr>
          <w:p w14:paraId="78CFAC97" w14:textId="178F5A12" w:rsidR="00AF22F6" w:rsidRPr="00204695" w:rsidRDefault="00204695" w:rsidP="00AF22F6">
            <w:r w:rsidRPr="00204695">
              <w:t>Operations cost</w:t>
            </w:r>
          </w:p>
        </w:tc>
        <w:tc>
          <w:tcPr>
            <w:tcW w:w="1099" w:type="dxa"/>
            <w:noWrap/>
            <w:hideMark/>
          </w:tcPr>
          <w:p w14:paraId="521D0528" w14:textId="2E449F9A" w:rsidR="00AF22F6" w:rsidRPr="00AF22F6" w:rsidRDefault="00204695" w:rsidP="00AF22F6">
            <w:pPr>
              <w:jc w:val="center"/>
              <w:cnfStyle w:val="000000100000" w:firstRow="0" w:lastRow="0" w:firstColumn="0" w:lastColumn="0" w:oddVBand="0" w:evenVBand="0" w:oddHBand="1" w:evenHBand="0" w:firstRowFirstColumn="0" w:firstRowLastColumn="0" w:lastRowFirstColumn="0" w:lastRowLastColumn="0"/>
            </w:pPr>
            <w:r>
              <w:t>10</w:t>
            </w:r>
          </w:p>
        </w:tc>
        <w:tc>
          <w:tcPr>
            <w:tcW w:w="1440" w:type="dxa"/>
            <w:noWrap/>
            <w:hideMark/>
          </w:tcPr>
          <w:p w14:paraId="3E5BA360"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1350" w:type="dxa"/>
            <w:noWrap/>
            <w:hideMark/>
          </w:tcPr>
          <w:p w14:paraId="5C977D87"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2430" w:type="dxa"/>
            <w:noWrap/>
            <w:hideMark/>
          </w:tcPr>
          <w:p w14:paraId="3AB79436" w14:textId="59CDA9E5" w:rsidR="00AF22F6" w:rsidRPr="00AF22F6" w:rsidRDefault="00204695" w:rsidP="00AF22F6">
            <w:pPr>
              <w:jc w:val="center"/>
              <w:cnfStyle w:val="000000100000" w:firstRow="0" w:lastRow="0" w:firstColumn="0" w:lastColumn="0" w:oddVBand="0" w:evenVBand="0" w:oddHBand="1" w:evenHBand="0" w:firstRowFirstColumn="0" w:firstRowLastColumn="0" w:lastRowFirstColumn="0" w:lastRowLastColumn="0"/>
            </w:pPr>
            <w:r>
              <w:t>M$</w:t>
            </w:r>
          </w:p>
        </w:tc>
      </w:tr>
      <w:tr w:rsidR="00204695" w:rsidRPr="00AF22F6" w14:paraId="142F6A6C" w14:textId="77777777" w:rsidTr="00204695">
        <w:trPr>
          <w:trHeight w:val="320"/>
        </w:trPr>
        <w:tc>
          <w:tcPr>
            <w:cnfStyle w:val="001000000000" w:firstRow="0" w:lastRow="0" w:firstColumn="1" w:lastColumn="0" w:oddVBand="0" w:evenVBand="0" w:oddHBand="0" w:evenHBand="0" w:firstRowFirstColumn="0" w:firstRowLastColumn="0" w:lastRowFirstColumn="0" w:lastRowLastColumn="0"/>
            <w:tcW w:w="3041" w:type="dxa"/>
            <w:tcBorders>
              <w:right w:val="single" w:sz="4" w:space="0" w:color="auto"/>
            </w:tcBorders>
            <w:noWrap/>
          </w:tcPr>
          <w:p w14:paraId="7A874FF5" w14:textId="11693C29" w:rsidR="00204695" w:rsidRPr="00204695" w:rsidRDefault="00204695" w:rsidP="00AF22F6">
            <w:r w:rsidRPr="00204695">
              <w:t>Spacecraft launch cost</w:t>
            </w:r>
          </w:p>
        </w:tc>
        <w:tc>
          <w:tcPr>
            <w:tcW w:w="1099" w:type="dxa"/>
            <w:tcBorders>
              <w:left w:val="single" w:sz="4" w:space="0" w:color="auto"/>
            </w:tcBorders>
            <w:noWrap/>
          </w:tcPr>
          <w:p w14:paraId="341359A6" w14:textId="689EB83A" w:rsidR="00204695" w:rsidRPr="00AF22F6" w:rsidRDefault="00204695" w:rsidP="00AF22F6">
            <w:pPr>
              <w:jc w:val="center"/>
              <w:cnfStyle w:val="000000000000" w:firstRow="0" w:lastRow="0" w:firstColumn="0" w:lastColumn="0" w:oddVBand="0" w:evenVBand="0" w:oddHBand="0" w:evenHBand="0" w:firstRowFirstColumn="0" w:firstRowLastColumn="0" w:lastRowFirstColumn="0" w:lastRowLastColumn="0"/>
            </w:pPr>
            <w:r>
              <w:t>67</w:t>
            </w:r>
          </w:p>
        </w:tc>
        <w:tc>
          <w:tcPr>
            <w:tcW w:w="1440" w:type="dxa"/>
            <w:noWrap/>
          </w:tcPr>
          <w:p w14:paraId="65630181" w14:textId="77777777" w:rsidR="00204695" w:rsidRPr="00AF22F6" w:rsidRDefault="00204695" w:rsidP="00AF22F6">
            <w:pPr>
              <w:jc w:val="center"/>
              <w:cnfStyle w:val="000000000000" w:firstRow="0" w:lastRow="0" w:firstColumn="0" w:lastColumn="0" w:oddVBand="0" w:evenVBand="0" w:oddHBand="0" w:evenHBand="0" w:firstRowFirstColumn="0" w:firstRowLastColumn="0" w:lastRowFirstColumn="0" w:lastRowLastColumn="0"/>
            </w:pPr>
          </w:p>
        </w:tc>
        <w:tc>
          <w:tcPr>
            <w:tcW w:w="1350" w:type="dxa"/>
            <w:noWrap/>
          </w:tcPr>
          <w:p w14:paraId="223DA7A7" w14:textId="77777777" w:rsidR="00204695" w:rsidRPr="00AF22F6" w:rsidRDefault="00204695" w:rsidP="00AF22F6">
            <w:pPr>
              <w:jc w:val="center"/>
              <w:cnfStyle w:val="000000000000" w:firstRow="0" w:lastRow="0" w:firstColumn="0" w:lastColumn="0" w:oddVBand="0" w:evenVBand="0" w:oddHBand="0" w:evenHBand="0" w:firstRowFirstColumn="0" w:firstRowLastColumn="0" w:lastRowFirstColumn="0" w:lastRowLastColumn="0"/>
            </w:pPr>
          </w:p>
        </w:tc>
        <w:tc>
          <w:tcPr>
            <w:tcW w:w="2430" w:type="dxa"/>
            <w:noWrap/>
          </w:tcPr>
          <w:p w14:paraId="325579D3" w14:textId="2800A171" w:rsidR="00204695" w:rsidRPr="00AF22F6" w:rsidRDefault="00204695" w:rsidP="00AF22F6">
            <w:pPr>
              <w:jc w:val="center"/>
              <w:cnfStyle w:val="000000000000" w:firstRow="0" w:lastRow="0" w:firstColumn="0" w:lastColumn="0" w:oddVBand="0" w:evenVBand="0" w:oddHBand="0" w:evenHBand="0" w:firstRowFirstColumn="0" w:firstRowLastColumn="0" w:lastRowFirstColumn="0" w:lastRowLastColumn="0"/>
            </w:pPr>
            <w:r w:rsidRPr="00AF22F6">
              <w:t>M$/launch</w:t>
            </w:r>
          </w:p>
        </w:tc>
      </w:tr>
      <w:tr w:rsidR="00204695" w:rsidRPr="00AF22F6" w14:paraId="1C211B3F" w14:textId="77777777" w:rsidTr="0020469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1" w:type="dxa"/>
            <w:tcBorders>
              <w:right w:val="single" w:sz="4" w:space="0" w:color="auto"/>
            </w:tcBorders>
            <w:noWrap/>
          </w:tcPr>
          <w:p w14:paraId="28248299" w14:textId="38F4D4DA" w:rsidR="00204695" w:rsidRPr="00204695" w:rsidRDefault="00204695" w:rsidP="00AF22F6">
            <w:r w:rsidRPr="00204695">
              <w:t>Number of spacecraft</w:t>
            </w:r>
          </w:p>
        </w:tc>
        <w:tc>
          <w:tcPr>
            <w:tcW w:w="1099" w:type="dxa"/>
            <w:tcBorders>
              <w:left w:val="single" w:sz="4" w:space="0" w:color="auto"/>
            </w:tcBorders>
            <w:noWrap/>
          </w:tcPr>
          <w:p w14:paraId="1BB2E6E6" w14:textId="2C0E7797" w:rsidR="00204695" w:rsidRPr="00AF22F6" w:rsidRDefault="00204695" w:rsidP="00AF22F6">
            <w:pPr>
              <w:jc w:val="center"/>
              <w:cnfStyle w:val="000000100000" w:firstRow="0" w:lastRow="0" w:firstColumn="0" w:lastColumn="0" w:oddVBand="0" w:evenVBand="0" w:oddHBand="1" w:evenHBand="0" w:firstRowFirstColumn="0" w:firstRowLastColumn="0" w:lastRowFirstColumn="0" w:lastRowLastColumn="0"/>
            </w:pPr>
            <w:r>
              <w:t>2</w:t>
            </w:r>
          </w:p>
        </w:tc>
        <w:tc>
          <w:tcPr>
            <w:tcW w:w="1440" w:type="dxa"/>
            <w:noWrap/>
          </w:tcPr>
          <w:p w14:paraId="3950CBB0" w14:textId="77777777" w:rsidR="00204695" w:rsidRPr="00AF22F6" w:rsidRDefault="00204695" w:rsidP="00AF22F6">
            <w:pPr>
              <w:jc w:val="center"/>
              <w:cnfStyle w:val="000000100000" w:firstRow="0" w:lastRow="0" w:firstColumn="0" w:lastColumn="0" w:oddVBand="0" w:evenVBand="0" w:oddHBand="1" w:evenHBand="0" w:firstRowFirstColumn="0" w:firstRowLastColumn="0" w:lastRowFirstColumn="0" w:lastRowLastColumn="0"/>
            </w:pPr>
          </w:p>
        </w:tc>
        <w:tc>
          <w:tcPr>
            <w:tcW w:w="1350" w:type="dxa"/>
            <w:noWrap/>
          </w:tcPr>
          <w:p w14:paraId="6BA2F960" w14:textId="77777777" w:rsidR="00204695" w:rsidRPr="00AF22F6" w:rsidRDefault="00204695" w:rsidP="00AF22F6">
            <w:pPr>
              <w:jc w:val="center"/>
              <w:cnfStyle w:val="000000100000" w:firstRow="0" w:lastRow="0" w:firstColumn="0" w:lastColumn="0" w:oddVBand="0" w:evenVBand="0" w:oddHBand="1" w:evenHBand="0" w:firstRowFirstColumn="0" w:firstRowLastColumn="0" w:lastRowFirstColumn="0" w:lastRowLastColumn="0"/>
            </w:pPr>
          </w:p>
        </w:tc>
        <w:tc>
          <w:tcPr>
            <w:tcW w:w="2430" w:type="dxa"/>
            <w:noWrap/>
          </w:tcPr>
          <w:p w14:paraId="6645BAEE" w14:textId="52A48223" w:rsidR="00204695" w:rsidRPr="00AF22F6" w:rsidRDefault="00204695" w:rsidP="00AF22F6">
            <w:pPr>
              <w:jc w:val="center"/>
              <w:cnfStyle w:val="000000100000" w:firstRow="0" w:lastRow="0" w:firstColumn="0" w:lastColumn="0" w:oddVBand="0" w:evenVBand="0" w:oddHBand="1" w:evenHBand="0" w:firstRowFirstColumn="0" w:firstRowLastColumn="0" w:lastRowFirstColumn="0" w:lastRowLastColumn="0"/>
            </w:pPr>
            <w:r>
              <w:t>spacecraft</w:t>
            </w:r>
          </w:p>
        </w:tc>
      </w:tr>
      <w:tr w:rsidR="00AF22F6" w:rsidRPr="00AF22F6" w14:paraId="4E158A07" w14:textId="77777777" w:rsidTr="00204695">
        <w:trPr>
          <w:trHeight w:val="320"/>
        </w:trPr>
        <w:tc>
          <w:tcPr>
            <w:cnfStyle w:val="001000000000" w:firstRow="0" w:lastRow="0" w:firstColumn="1" w:lastColumn="0" w:oddVBand="0" w:evenVBand="0" w:oddHBand="0" w:evenHBand="0" w:firstRowFirstColumn="0" w:firstRowLastColumn="0" w:lastRowFirstColumn="0" w:lastRowLastColumn="0"/>
            <w:tcW w:w="3041" w:type="dxa"/>
            <w:noWrap/>
            <w:hideMark/>
          </w:tcPr>
          <w:p w14:paraId="1B6B80BD" w14:textId="77777777" w:rsidR="00AF22F6" w:rsidRPr="00204695" w:rsidRDefault="00AF22F6" w:rsidP="00AF22F6">
            <w:r w:rsidRPr="00204695">
              <w:t>Number of launches</w:t>
            </w:r>
          </w:p>
        </w:tc>
        <w:tc>
          <w:tcPr>
            <w:tcW w:w="1099" w:type="dxa"/>
            <w:tcBorders>
              <w:bottom w:val="single" w:sz="4" w:space="0" w:color="auto"/>
            </w:tcBorders>
            <w:noWrap/>
            <w:hideMark/>
          </w:tcPr>
          <w:p w14:paraId="06369D71" w14:textId="48E764A3" w:rsidR="00AF22F6" w:rsidRPr="00AF22F6" w:rsidRDefault="00204695" w:rsidP="00AF22F6">
            <w:pPr>
              <w:jc w:val="center"/>
              <w:cnfStyle w:val="000000000000" w:firstRow="0" w:lastRow="0" w:firstColumn="0" w:lastColumn="0" w:oddVBand="0" w:evenVBand="0" w:oddHBand="0" w:evenHBand="0" w:firstRowFirstColumn="0" w:firstRowLastColumn="0" w:lastRowFirstColumn="0" w:lastRowLastColumn="0"/>
            </w:pPr>
            <w:r>
              <w:t>2</w:t>
            </w:r>
          </w:p>
        </w:tc>
        <w:tc>
          <w:tcPr>
            <w:tcW w:w="1440" w:type="dxa"/>
            <w:tcBorders>
              <w:bottom w:val="single" w:sz="4" w:space="0" w:color="auto"/>
            </w:tcBorders>
            <w:noWrap/>
            <w:hideMark/>
          </w:tcPr>
          <w:p w14:paraId="7842B62A"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p>
        </w:tc>
        <w:tc>
          <w:tcPr>
            <w:tcW w:w="1350" w:type="dxa"/>
            <w:noWrap/>
            <w:hideMark/>
          </w:tcPr>
          <w:p w14:paraId="3253595A"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p>
        </w:tc>
        <w:tc>
          <w:tcPr>
            <w:tcW w:w="2430" w:type="dxa"/>
            <w:noWrap/>
            <w:hideMark/>
          </w:tcPr>
          <w:p w14:paraId="4297A158"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r w:rsidRPr="00AF22F6">
              <w:t>launches</w:t>
            </w:r>
          </w:p>
        </w:tc>
      </w:tr>
      <w:tr w:rsidR="00AF22F6" w:rsidRPr="00AF22F6" w14:paraId="737CA919" w14:textId="77777777" w:rsidTr="001527D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1" w:type="dxa"/>
            <w:noWrap/>
            <w:hideMark/>
          </w:tcPr>
          <w:p w14:paraId="2B5D1F50" w14:textId="744E68E1" w:rsidR="00AF22F6" w:rsidRPr="00AF22F6" w:rsidRDefault="00AF22F6" w:rsidP="00DB3684">
            <w:pPr>
              <w:ind w:left="360" w:hanging="360"/>
              <w:rPr>
                <w:i w:val="0"/>
                <w:iCs w:val="0"/>
              </w:rPr>
            </w:pPr>
            <w:r w:rsidRPr="00AF22F6">
              <w:rPr>
                <w:i w:val="0"/>
                <w:iCs w:val="0"/>
              </w:rPr>
              <w:t xml:space="preserve">Total </w:t>
            </w:r>
            <w:r w:rsidR="00DB3684">
              <w:rPr>
                <w:i w:val="0"/>
                <w:iCs w:val="0"/>
              </w:rPr>
              <w:t>system</w:t>
            </w:r>
            <w:r w:rsidRPr="00AF22F6">
              <w:rPr>
                <w:i w:val="0"/>
                <w:iCs w:val="0"/>
              </w:rPr>
              <w:t xml:space="preserve"> cost</w:t>
            </w:r>
          </w:p>
        </w:tc>
        <w:tc>
          <w:tcPr>
            <w:tcW w:w="1099" w:type="dxa"/>
            <w:tcBorders>
              <w:top w:val="single" w:sz="4" w:space="0" w:color="auto"/>
            </w:tcBorders>
            <w:noWrap/>
            <w:hideMark/>
          </w:tcPr>
          <w:p w14:paraId="2E8701B3"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1440" w:type="dxa"/>
            <w:tcBorders>
              <w:top w:val="single" w:sz="4" w:space="0" w:color="auto"/>
            </w:tcBorders>
            <w:noWrap/>
            <w:hideMark/>
          </w:tcPr>
          <w:p w14:paraId="0C590E5E" w14:textId="598DE209" w:rsidR="00AF22F6" w:rsidRPr="00AF22F6" w:rsidRDefault="0050140F" w:rsidP="00AF22F6">
            <w:pPr>
              <w:jc w:val="center"/>
              <w:cnfStyle w:val="000000100000" w:firstRow="0" w:lastRow="0" w:firstColumn="0" w:lastColumn="0" w:oddVBand="0" w:evenVBand="0" w:oddHBand="1" w:evenHBand="0" w:firstRowFirstColumn="0" w:firstRowLastColumn="0" w:lastRowFirstColumn="0" w:lastRowLastColumn="0"/>
            </w:pPr>
            <w:r>
              <w:t>546</w:t>
            </w:r>
          </w:p>
        </w:tc>
        <w:tc>
          <w:tcPr>
            <w:tcW w:w="1350" w:type="dxa"/>
            <w:noWrap/>
            <w:hideMark/>
          </w:tcPr>
          <w:p w14:paraId="4F88D38F"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2430" w:type="dxa"/>
            <w:noWrap/>
            <w:hideMark/>
          </w:tcPr>
          <w:p w14:paraId="4F29039E"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r w:rsidRPr="00AF22F6">
              <w:t>M$</w:t>
            </w:r>
          </w:p>
        </w:tc>
      </w:tr>
      <w:tr w:rsidR="00AF22F6" w:rsidRPr="00AF22F6" w14:paraId="42A2B9F8" w14:textId="77777777" w:rsidTr="001527D0">
        <w:trPr>
          <w:trHeight w:val="320"/>
        </w:trPr>
        <w:tc>
          <w:tcPr>
            <w:cnfStyle w:val="001000000000" w:firstRow="0" w:lastRow="0" w:firstColumn="1" w:lastColumn="0" w:oddVBand="0" w:evenVBand="0" w:oddHBand="0" w:evenHBand="0" w:firstRowFirstColumn="0" w:firstRowLastColumn="0" w:lastRowFirstColumn="0" w:lastRowLastColumn="0"/>
            <w:tcW w:w="3041" w:type="dxa"/>
            <w:noWrap/>
            <w:hideMark/>
          </w:tcPr>
          <w:p w14:paraId="10702915" w14:textId="77777777" w:rsidR="00AF22F6" w:rsidRPr="00AF22F6" w:rsidRDefault="00AF22F6" w:rsidP="00AF22F6">
            <w:pPr>
              <w:rPr>
                <w:i w:val="0"/>
                <w:iCs w:val="0"/>
              </w:rPr>
            </w:pPr>
            <w:r w:rsidRPr="00AF22F6">
              <w:rPr>
                <w:i w:val="0"/>
                <w:iCs w:val="0"/>
              </w:rPr>
              <w:lastRenderedPageBreak/>
              <w:t>Replacement cadence</w:t>
            </w:r>
          </w:p>
        </w:tc>
        <w:tc>
          <w:tcPr>
            <w:tcW w:w="1099" w:type="dxa"/>
            <w:tcBorders>
              <w:bottom w:val="single" w:sz="4" w:space="0" w:color="auto"/>
            </w:tcBorders>
            <w:noWrap/>
            <w:hideMark/>
          </w:tcPr>
          <w:p w14:paraId="39E4CDFD"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p>
        </w:tc>
        <w:tc>
          <w:tcPr>
            <w:tcW w:w="1440" w:type="dxa"/>
            <w:tcBorders>
              <w:bottom w:val="single" w:sz="4" w:space="0" w:color="auto"/>
            </w:tcBorders>
            <w:noWrap/>
            <w:hideMark/>
          </w:tcPr>
          <w:p w14:paraId="19BF4811"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r w:rsidRPr="00AF22F6">
              <w:t>0</w:t>
            </w:r>
          </w:p>
        </w:tc>
        <w:tc>
          <w:tcPr>
            <w:tcW w:w="1350" w:type="dxa"/>
            <w:tcBorders>
              <w:bottom w:val="single" w:sz="4" w:space="0" w:color="auto"/>
            </w:tcBorders>
            <w:noWrap/>
            <w:hideMark/>
          </w:tcPr>
          <w:p w14:paraId="5A3C6FE4" w14:textId="77777777" w:rsidR="00AF22F6" w:rsidRPr="00AF22F6" w:rsidRDefault="00AF22F6" w:rsidP="00AF22F6">
            <w:pPr>
              <w:jc w:val="center"/>
              <w:cnfStyle w:val="000000000000" w:firstRow="0" w:lastRow="0" w:firstColumn="0" w:lastColumn="0" w:oddVBand="0" w:evenVBand="0" w:oddHBand="0" w:evenHBand="0" w:firstRowFirstColumn="0" w:firstRowLastColumn="0" w:lastRowFirstColumn="0" w:lastRowLastColumn="0"/>
            </w:pPr>
          </w:p>
        </w:tc>
        <w:tc>
          <w:tcPr>
            <w:tcW w:w="2430" w:type="dxa"/>
            <w:noWrap/>
            <w:hideMark/>
          </w:tcPr>
          <w:p w14:paraId="5B9D751D" w14:textId="0B48D7CA" w:rsidR="00AF22F6" w:rsidRPr="00AF22F6" w:rsidRDefault="0050140F" w:rsidP="00AF22F6">
            <w:pPr>
              <w:jc w:val="center"/>
              <w:cnfStyle w:val="000000000000" w:firstRow="0" w:lastRow="0" w:firstColumn="0" w:lastColumn="0" w:oddVBand="0" w:evenVBand="0" w:oddHBand="0" w:evenHBand="0" w:firstRowFirstColumn="0" w:firstRowLastColumn="0" w:lastRowFirstColumn="0" w:lastRowLastColumn="0"/>
            </w:pPr>
            <w:r>
              <w:t>systems</w:t>
            </w:r>
            <w:r w:rsidR="00AF22F6" w:rsidRPr="00AF22F6">
              <w:t>/year</w:t>
            </w:r>
          </w:p>
        </w:tc>
      </w:tr>
      <w:tr w:rsidR="00AF22F6" w:rsidRPr="00AF22F6" w14:paraId="62C2EA6A" w14:textId="77777777" w:rsidTr="001527D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1" w:type="dxa"/>
            <w:tcBorders>
              <w:bottom w:val="single" w:sz="4" w:space="0" w:color="auto"/>
            </w:tcBorders>
            <w:noWrap/>
            <w:hideMark/>
          </w:tcPr>
          <w:p w14:paraId="77C5302A" w14:textId="53EA3F90" w:rsidR="00AF22F6" w:rsidRPr="00AF22F6" w:rsidRDefault="00AF22F6">
            <w:pPr>
              <w:rPr>
                <w:b/>
                <w:bCs/>
                <w:i w:val="0"/>
                <w:iCs w:val="0"/>
              </w:rPr>
            </w:pPr>
            <w:r w:rsidRPr="00AF22F6">
              <w:rPr>
                <w:b/>
                <w:bCs/>
                <w:i w:val="0"/>
                <w:iCs w:val="0"/>
              </w:rPr>
              <w:t>Running cost</w:t>
            </w:r>
          </w:p>
        </w:tc>
        <w:tc>
          <w:tcPr>
            <w:tcW w:w="1099" w:type="dxa"/>
            <w:tcBorders>
              <w:top w:val="single" w:sz="4" w:space="0" w:color="auto"/>
              <w:bottom w:val="single" w:sz="4" w:space="0" w:color="auto"/>
            </w:tcBorders>
            <w:noWrap/>
            <w:hideMark/>
          </w:tcPr>
          <w:p w14:paraId="62D5A9A0" w14:textId="5CB59B8F"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1440" w:type="dxa"/>
            <w:tcBorders>
              <w:top w:val="single" w:sz="4" w:space="0" w:color="auto"/>
              <w:bottom w:val="single" w:sz="4" w:space="0" w:color="auto"/>
            </w:tcBorders>
            <w:noWrap/>
            <w:hideMark/>
          </w:tcPr>
          <w:p w14:paraId="39D94E65" w14:textId="3E1D9FA1"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p>
        </w:tc>
        <w:tc>
          <w:tcPr>
            <w:tcW w:w="1350" w:type="dxa"/>
            <w:tcBorders>
              <w:top w:val="single" w:sz="4" w:space="0" w:color="auto"/>
              <w:bottom w:val="single" w:sz="4" w:space="0" w:color="auto"/>
            </w:tcBorders>
            <w:noWrap/>
            <w:hideMark/>
          </w:tcPr>
          <w:p w14:paraId="60A1486A"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r w:rsidRPr="00AF22F6">
              <w:t>0</w:t>
            </w:r>
          </w:p>
        </w:tc>
        <w:tc>
          <w:tcPr>
            <w:tcW w:w="2430" w:type="dxa"/>
            <w:tcBorders>
              <w:bottom w:val="single" w:sz="4" w:space="0" w:color="auto"/>
            </w:tcBorders>
            <w:noWrap/>
            <w:hideMark/>
          </w:tcPr>
          <w:p w14:paraId="2663EE8A" w14:textId="77777777" w:rsidR="00AF22F6" w:rsidRPr="00AF22F6" w:rsidRDefault="00AF22F6" w:rsidP="00AF22F6">
            <w:pPr>
              <w:jc w:val="center"/>
              <w:cnfStyle w:val="000000100000" w:firstRow="0" w:lastRow="0" w:firstColumn="0" w:lastColumn="0" w:oddVBand="0" w:evenVBand="0" w:oddHBand="1" w:evenHBand="0" w:firstRowFirstColumn="0" w:firstRowLastColumn="0" w:lastRowFirstColumn="0" w:lastRowLastColumn="0"/>
            </w:pPr>
            <w:r w:rsidRPr="00AF22F6">
              <w:t>M$/year</w:t>
            </w:r>
          </w:p>
        </w:tc>
      </w:tr>
      <w:tr w:rsidR="002F100E" w:rsidRPr="00AF22F6" w14:paraId="216D3D40" w14:textId="77777777" w:rsidTr="001527D0">
        <w:trPr>
          <w:trHeight w:val="320"/>
        </w:trPr>
        <w:tc>
          <w:tcPr>
            <w:cnfStyle w:val="001000000000" w:firstRow="0" w:lastRow="0" w:firstColumn="1" w:lastColumn="0" w:oddVBand="0" w:evenVBand="0" w:oddHBand="0" w:evenHBand="0" w:firstRowFirstColumn="0" w:firstRowLastColumn="0" w:lastRowFirstColumn="0" w:lastRowLastColumn="0"/>
            <w:tcW w:w="3041" w:type="dxa"/>
            <w:tcBorders>
              <w:top w:val="single" w:sz="4" w:space="0" w:color="auto"/>
            </w:tcBorders>
            <w:noWrap/>
            <w:hideMark/>
          </w:tcPr>
          <w:p w14:paraId="6AA7CCE1" w14:textId="77777777" w:rsidR="002F100E" w:rsidRPr="00DB3684" w:rsidRDefault="002F100E" w:rsidP="002F100E">
            <w:pPr>
              <w:rPr>
                <w:i w:val="0"/>
                <w:iCs w:val="0"/>
              </w:rPr>
            </w:pPr>
            <w:r w:rsidRPr="00DB3684">
              <w:rPr>
                <w:i w:val="0"/>
                <w:iCs w:val="0"/>
              </w:rPr>
              <w:t>NRE</w:t>
            </w:r>
          </w:p>
        </w:tc>
        <w:tc>
          <w:tcPr>
            <w:tcW w:w="1099" w:type="dxa"/>
            <w:tcBorders>
              <w:top w:val="single" w:sz="4" w:space="0" w:color="auto"/>
            </w:tcBorders>
            <w:noWrap/>
            <w:hideMark/>
          </w:tcPr>
          <w:p w14:paraId="426BD4EA" w14:textId="77777777" w:rsidR="002F100E" w:rsidRPr="00AF22F6" w:rsidRDefault="002F100E" w:rsidP="002F100E">
            <w:pPr>
              <w:jc w:val="center"/>
              <w:cnfStyle w:val="000000000000" w:firstRow="0" w:lastRow="0" w:firstColumn="0" w:lastColumn="0" w:oddVBand="0" w:evenVBand="0" w:oddHBand="0" w:evenHBand="0" w:firstRowFirstColumn="0" w:firstRowLastColumn="0" w:lastRowFirstColumn="0" w:lastRowLastColumn="0"/>
            </w:pPr>
          </w:p>
        </w:tc>
        <w:tc>
          <w:tcPr>
            <w:tcW w:w="1440" w:type="dxa"/>
            <w:tcBorders>
              <w:top w:val="single" w:sz="4" w:space="0" w:color="auto"/>
            </w:tcBorders>
            <w:noWrap/>
            <w:hideMark/>
          </w:tcPr>
          <w:p w14:paraId="3DD3F48B" w14:textId="6F9E0890" w:rsidR="002F100E" w:rsidRPr="00AF22F6" w:rsidRDefault="0050140F" w:rsidP="002F100E">
            <w:pPr>
              <w:jc w:val="center"/>
              <w:cnfStyle w:val="000000000000" w:firstRow="0" w:lastRow="0" w:firstColumn="0" w:lastColumn="0" w:oddVBand="0" w:evenVBand="0" w:oddHBand="0" w:evenHBand="0" w:firstRowFirstColumn="0" w:firstRowLastColumn="0" w:lastRowFirstColumn="0" w:lastRowLastColumn="0"/>
            </w:pPr>
            <w:r>
              <w:t>1072</w:t>
            </w:r>
          </w:p>
        </w:tc>
        <w:tc>
          <w:tcPr>
            <w:tcW w:w="1350" w:type="dxa"/>
            <w:tcBorders>
              <w:top w:val="single" w:sz="4" w:space="0" w:color="auto"/>
            </w:tcBorders>
            <w:noWrap/>
          </w:tcPr>
          <w:p w14:paraId="075942AE" w14:textId="2C559A24" w:rsidR="002F100E" w:rsidRPr="00AF22F6" w:rsidRDefault="002F100E" w:rsidP="002F100E">
            <w:pPr>
              <w:jc w:val="center"/>
              <w:cnfStyle w:val="000000000000" w:firstRow="0" w:lastRow="0" w:firstColumn="0" w:lastColumn="0" w:oddVBand="0" w:evenVBand="0" w:oddHBand="0" w:evenHBand="0" w:firstRowFirstColumn="0" w:firstRowLastColumn="0" w:lastRowFirstColumn="0" w:lastRowLastColumn="0"/>
            </w:pPr>
          </w:p>
        </w:tc>
        <w:tc>
          <w:tcPr>
            <w:tcW w:w="2430" w:type="dxa"/>
            <w:tcBorders>
              <w:top w:val="single" w:sz="4" w:space="0" w:color="auto"/>
            </w:tcBorders>
            <w:noWrap/>
            <w:hideMark/>
          </w:tcPr>
          <w:p w14:paraId="065FB9F2" w14:textId="77777777" w:rsidR="002F100E" w:rsidRPr="00AF22F6" w:rsidRDefault="002F100E" w:rsidP="002F100E">
            <w:pPr>
              <w:jc w:val="center"/>
              <w:cnfStyle w:val="000000000000" w:firstRow="0" w:lastRow="0" w:firstColumn="0" w:lastColumn="0" w:oddVBand="0" w:evenVBand="0" w:oddHBand="0" w:evenHBand="0" w:firstRowFirstColumn="0" w:firstRowLastColumn="0" w:lastRowFirstColumn="0" w:lastRowLastColumn="0"/>
            </w:pPr>
            <w:r w:rsidRPr="00AF22F6">
              <w:t>M$</w:t>
            </w:r>
          </w:p>
        </w:tc>
      </w:tr>
      <w:tr w:rsidR="002F100E" w:rsidRPr="00AF22F6" w14:paraId="10BE80C4" w14:textId="77777777" w:rsidTr="001527D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1" w:type="dxa"/>
            <w:noWrap/>
            <w:hideMark/>
          </w:tcPr>
          <w:p w14:paraId="76D38CE6" w14:textId="16E0521D" w:rsidR="002F100E" w:rsidRPr="00DB3684" w:rsidRDefault="002F100E" w:rsidP="002F100E">
            <w:pPr>
              <w:rPr>
                <w:i w:val="0"/>
                <w:iCs w:val="0"/>
              </w:rPr>
            </w:pPr>
            <w:r w:rsidRPr="00DB3684">
              <w:rPr>
                <w:i w:val="0"/>
                <w:iCs w:val="0"/>
              </w:rPr>
              <w:t xml:space="preserve">First operational </w:t>
            </w:r>
            <w:r w:rsidR="00AD3C08">
              <w:rPr>
                <w:i w:val="0"/>
                <w:iCs w:val="0"/>
              </w:rPr>
              <w:t>system</w:t>
            </w:r>
          </w:p>
        </w:tc>
        <w:tc>
          <w:tcPr>
            <w:tcW w:w="1099" w:type="dxa"/>
            <w:tcBorders>
              <w:bottom w:val="single" w:sz="4" w:space="0" w:color="auto"/>
            </w:tcBorders>
            <w:noWrap/>
            <w:hideMark/>
          </w:tcPr>
          <w:p w14:paraId="2CD14CCA" w14:textId="1181C5CC" w:rsidR="002F100E" w:rsidRPr="00AF22F6" w:rsidRDefault="002F100E" w:rsidP="002F100E">
            <w:pPr>
              <w:jc w:val="center"/>
              <w:cnfStyle w:val="000000100000" w:firstRow="0" w:lastRow="0" w:firstColumn="0" w:lastColumn="0" w:oddVBand="0" w:evenVBand="0" w:oddHBand="1" w:evenHBand="0" w:firstRowFirstColumn="0" w:firstRowLastColumn="0" w:lastRowFirstColumn="0" w:lastRowLastColumn="0"/>
            </w:pPr>
          </w:p>
        </w:tc>
        <w:tc>
          <w:tcPr>
            <w:tcW w:w="1440" w:type="dxa"/>
            <w:tcBorders>
              <w:bottom w:val="single" w:sz="4" w:space="0" w:color="auto"/>
            </w:tcBorders>
            <w:noWrap/>
            <w:hideMark/>
          </w:tcPr>
          <w:p w14:paraId="747BB72C" w14:textId="169F4372" w:rsidR="002F100E" w:rsidRPr="00AF22F6" w:rsidRDefault="00D917EF" w:rsidP="002F100E">
            <w:pPr>
              <w:jc w:val="center"/>
              <w:cnfStyle w:val="000000100000" w:firstRow="0" w:lastRow="0" w:firstColumn="0" w:lastColumn="0" w:oddVBand="0" w:evenVBand="0" w:oddHBand="1" w:evenHBand="0" w:firstRowFirstColumn="0" w:firstRowLastColumn="0" w:lastRowFirstColumn="0" w:lastRowLastColumn="0"/>
            </w:pPr>
            <w:r>
              <w:t>546</w:t>
            </w:r>
          </w:p>
        </w:tc>
        <w:tc>
          <w:tcPr>
            <w:tcW w:w="1350" w:type="dxa"/>
            <w:tcBorders>
              <w:bottom w:val="single" w:sz="4" w:space="0" w:color="auto"/>
            </w:tcBorders>
            <w:noWrap/>
          </w:tcPr>
          <w:p w14:paraId="492F125D" w14:textId="6B073004" w:rsidR="002F100E" w:rsidRPr="00AF22F6" w:rsidRDefault="002F100E" w:rsidP="002F100E">
            <w:pPr>
              <w:jc w:val="center"/>
              <w:cnfStyle w:val="000000100000" w:firstRow="0" w:lastRow="0" w:firstColumn="0" w:lastColumn="0" w:oddVBand="0" w:evenVBand="0" w:oddHBand="1" w:evenHBand="0" w:firstRowFirstColumn="0" w:firstRowLastColumn="0" w:lastRowFirstColumn="0" w:lastRowLastColumn="0"/>
            </w:pPr>
          </w:p>
        </w:tc>
        <w:tc>
          <w:tcPr>
            <w:tcW w:w="2430" w:type="dxa"/>
            <w:noWrap/>
            <w:hideMark/>
          </w:tcPr>
          <w:p w14:paraId="2DE04B89" w14:textId="77777777" w:rsidR="002F100E" w:rsidRPr="00AF22F6" w:rsidRDefault="002F100E" w:rsidP="002F100E">
            <w:pPr>
              <w:jc w:val="center"/>
              <w:cnfStyle w:val="000000100000" w:firstRow="0" w:lastRow="0" w:firstColumn="0" w:lastColumn="0" w:oddVBand="0" w:evenVBand="0" w:oddHBand="1" w:evenHBand="0" w:firstRowFirstColumn="0" w:firstRowLastColumn="0" w:lastRowFirstColumn="0" w:lastRowLastColumn="0"/>
            </w:pPr>
            <w:r w:rsidRPr="00AF22F6">
              <w:t>M$</w:t>
            </w:r>
          </w:p>
        </w:tc>
      </w:tr>
      <w:tr w:rsidR="002F100E" w:rsidRPr="00AF22F6" w14:paraId="1C8875EA" w14:textId="77777777" w:rsidTr="001527D0">
        <w:trPr>
          <w:trHeight w:val="320"/>
        </w:trPr>
        <w:tc>
          <w:tcPr>
            <w:cnfStyle w:val="001000000000" w:firstRow="0" w:lastRow="0" w:firstColumn="1" w:lastColumn="0" w:oddVBand="0" w:evenVBand="0" w:oddHBand="0" w:evenHBand="0" w:firstRowFirstColumn="0" w:firstRowLastColumn="0" w:lastRowFirstColumn="0" w:lastRowLastColumn="0"/>
            <w:tcW w:w="3041" w:type="dxa"/>
            <w:tcBorders>
              <w:bottom w:val="single" w:sz="4" w:space="0" w:color="auto"/>
            </w:tcBorders>
            <w:noWrap/>
            <w:hideMark/>
          </w:tcPr>
          <w:p w14:paraId="775EA94E" w14:textId="095087C1" w:rsidR="002F100E" w:rsidRPr="00DB3684" w:rsidRDefault="002F100E" w:rsidP="002F100E">
            <w:pPr>
              <w:rPr>
                <w:b/>
                <w:bCs/>
                <w:i w:val="0"/>
                <w:iCs w:val="0"/>
              </w:rPr>
            </w:pPr>
            <w:r w:rsidRPr="00DB3684">
              <w:rPr>
                <w:b/>
                <w:bCs/>
                <w:i w:val="0"/>
                <w:iCs w:val="0"/>
              </w:rPr>
              <w:t>Up-front cost</w:t>
            </w:r>
          </w:p>
        </w:tc>
        <w:tc>
          <w:tcPr>
            <w:tcW w:w="1099" w:type="dxa"/>
            <w:tcBorders>
              <w:top w:val="single" w:sz="4" w:space="0" w:color="auto"/>
              <w:bottom w:val="single" w:sz="4" w:space="0" w:color="auto"/>
            </w:tcBorders>
            <w:noWrap/>
            <w:hideMark/>
          </w:tcPr>
          <w:p w14:paraId="059207D5" w14:textId="3A8DE293" w:rsidR="002F100E" w:rsidRPr="00AF22F6" w:rsidRDefault="002F100E" w:rsidP="002F100E">
            <w:pPr>
              <w:jc w:val="center"/>
              <w:cnfStyle w:val="000000000000" w:firstRow="0" w:lastRow="0" w:firstColumn="0" w:lastColumn="0" w:oddVBand="0" w:evenVBand="0" w:oddHBand="0" w:evenHBand="0" w:firstRowFirstColumn="0" w:firstRowLastColumn="0" w:lastRowFirstColumn="0" w:lastRowLastColumn="0"/>
            </w:pPr>
          </w:p>
        </w:tc>
        <w:tc>
          <w:tcPr>
            <w:tcW w:w="1440" w:type="dxa"/>
            <w:tcBorders>
              <w:top w:val="single" w:sz="4" w:space="0" w:color="auto"/>
              <w:bottom w:val="single" w:sz="4" w:space="0" w:color="auto"/>
            </w:tcBorders>
            <w:noWrap/>
            <w:hideMark/>
          </w:tcPr>
          <w:p w14:paraId="4E431879" w14:textId="7039F578" w:rsidR="002F100E" w:rsidRPr="00AF22F6" w:rsidRDefault="002F100E" w:rsidP="002F100E">
            <w:pPr>
              <w:jc w:val="center"/>
              <w:cnfStyle w:val="000000000000" w:firstRow="0" w:lastRow="0" w:firstColumn="0" w:lastColumn="0" w:oddVBand="0" w:evenVBand="0" w:oddHBand="0" w:evenHBand="0" w:firstRowFirstColumn="0" w:firstRowLastColumn="0" w:lastRowFirstColumn="0" w:lastRowLastColumn="0"/>
            </w:pPr>
          </w:p>
        </w:tc>
        <w:tc>
          <w:tcPr>
            <w:tcW w:w="1350" w:type="dxa"/>
            <w:tcBorders>
              <w:top w:val="single" w:sz="4" w:space="0" w:color="auto"/>
              <w:bottom w:val="single" w:sz="4" w:space="0" w:color="auto"/>
            </w:tcBorders>
            <w:noWrap/>
            <w:hideMark/>
          </w:tcPr>
          <w:p w14:paraId="7F0EA63B" w14:textId="657750E8" w:rsidR="002F100E" w:rsidRPr="00AF22F6" w:rsidRDefault="00D917EF" w:rsidP="002F100E">
            <w:pPr>
              <w:jc w:val="center"/>
              <w:cnfStyle w:val="000000000000" w:firstRow="0" w:lastRow="0" w:firstColumn="0" w:lastColumn="0" w:oddVBand="0" w:evenVBand="0" w:oddHBand="0" w:evenHBand="0" w:firstRowFirstColumn="0" w:firstRowLastColumn="0" w:lastRowFirstColumn="0" w:lastRowLastColumn="0"/>
            </w:pPr>
            <w:r>
              <w:t>1618</w:t>
            </w:r>
          </w:p>
        </w:tc>
        <w:tc>
          <w:tcPr>
            <w:tcW w:w="2430" w:type="dxa"/>
            <w:tcBorders>
              <w:bottom w:val="single" w:sz="4" w:space="0" w:color="auto"/>
            </w:tcBorders>
            <w:noWrap/>
            <w:hideMark/>
          </w:tcPr>
          <w:p w14:paraId="700C2230" w14:textId="77777777" w:rsidR="002F100E" w:rsidRPr="00AF22F6" w:rsidRDefault="002F100E" w:rsidP="002F100E">
            <w:pPr>
              <w:jc w:val="center"/>
              <w:cnfStyle w:val="000000000000" w:firstRow="0" w:lastRow="0" w:firstColumn="0" w:lastColumn="0" w:oddVBand="0" w:evenVBand="0" w:oddHBand="0" w:evenHBand="0" w:firstRowFirstColumn="0" w:firstRowLastColumn="0" w:lastRowFirstColumn="0" w:lastRowLastColumn="0"/>
            </w:pPr>
            <w:r w:rsidRPr="00AF22F6">
              <w:t>M$</w:t>
            </w:r>
          </w:p>
        </w:tc>
      </w:tr>
    </w:tbl>
    <w:p w14:paraId="0AA0CFD4" w14:textId="77777777" w:rsidR="00AF22F6" w:rsidRDefault="00AF22F6" w:rsidP="00A30287"/>
    <w:p w14:paraId="31606AF6" w14:textId="76673427" w:rsidR="00467774" w:rsidRPr="00581647" w:rsidRDefault="00467774" w:rsidP="00581647">
      <w:pPr>
        <w:rPr>
          <w:i/>
          <w:iCs/>
          <w:color w:val="0B3D91" w:themeColor="accent1"/>
          <w:sz w:val="18"/>
          <w:szCs w:val="18"/>
        </w:rPr>
      </w:pPr>
      <w:r w:rsidRPr="00581647">
        <w:rPr>
          <w:i/>
          <w:iCs/>
          <w:color w:val="0B3D91" w:themeColor="accent1"/>
          <w:sz w:val="18"/>
          <w:szCs w:val="18"/>
        </w:rPr>
        <w:t xml:space="preserve">Table </w:t>
      </w:r>
      <w:r w:rsidRPr="00581647">
        <w:rPr>
          <w:i/>
          <w:iCs/>
          <w:color w:val="0B3D91" w:themeColor="accent1"/>
          <w:sz w:val="18"/>
          <w:szCs w:val="18"/>
        </w:rPr>
        <w:fldChar w:fldCharType="begin"/>
      </w:r>
      <w:r w:rsidRPr="00581647">
        <w:rPr>
          <w:i/>
          <w:iCs/>
          <w:color w:val="0B3D91" w:themeColor="accent1"/>
          <w:sz w:val="18"/>
          <w:szCs w:val="18"/>
        </w:rPr>
        <w:instrText xml:space="preserve"> SEQ Table \* ARABIC </w:instrText>
      </w:r>
      <w:r w:rsidRPr="00581647">
        <w:rPr>
          <w:i/>
          <w:iCs/>
          <w:color w:val="0B3D91" w:themeColor="accent1"/>
          <w:sz w:val="18"/>
          <w:szCs w:val="18"/>
        </w:rPr>
        <w:fldChar w:fldCharType="separate"/>
      </w:r>
      <w:r w:rsidR="001F0D0C">
        <w:rPr>
          <w:i/>
          <w:iCs/>
          <w:noProof/>
          <w:color w:val="0B3D91" w:themeColor="accent1"/>
          <w:sz w:val="18"/>
          <w:szCs w:val="18"/>
        </w:rPr>
        <w:t>10</w:t>
      </w:r>
      <w:r w:rsidRPr="00581647">
        <w:rPr>
          <w:i/>
          <w:iCs/>
          <w:color w:val="0B3D91" w:themeColor="accent1"/>
          <w:sz w:val="18"/>
          <w:szCs w:val="18"/>
        </w:rPr>
        <w:fldChar w:fldCharType="end"/>
      </w:r>
      <w:r w:rsidRPr="00581647">
        <w:rPr>
          <w:i/>
          <w:iCs/>
          <w:color w:val="0B3D91" w:themeColor="accent1"/>
          <w:sz w:val="18"/>
          <w:szCs w:val="18"/>
        </w:rPr>
        <w:t>: Costs for an uncontrolled grab-and-remove (ADR) system</w:t>
      </w:r>
    </w:p>
    <w:tbl>
      <w:tblPr>
        <w:tblStyle w:val="PlainTable5"/>
        <w:tblW w:w="0" w:type="auto"/>
        <w:tblLook w:val="04A0" w:firstRow="1" w:lastRow="0" w:firstColumn="1" w:lastColumn="0" w:noHBand="0" w:noVBand="1"/>
      </w:tblPr>
      <w:tblGrid>
        <w:gridCol w:w="2615"/>
        <w:gridCol w:w="1148"/>
        <w:gridCol w:w="1277"/>
        <w:gridCol w:w="741"/>
        <w:gridCol w:w="1653"/>
        <w:gridCol w:w="1926"/>
      </w:tblGrid>
      <w:tr w:rsidR="007D6759" w:rsidRPr="007D6759" w14:paraId="5F67A72B" w14:textId="77777777" w:rsidTr="008E07A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615" w:type="dxa"/>
            <w:noWrap/>
            <w:hideMark/>
          </w:tcPr>
          <w:p w14:paraId="45D692DB" w14:textId="77777777" w:rsidR="007D6759" w:rsidRPr="002F100E" w:rsidRDefault="007D6759" w:rsidP="008E07A1">
            <w:pPr>
              <w:spacing w:before="192"/>
              <w:jc w:val="center"/>
              <w:rPr>
                <w:b/>
                <w:bCs/>
                <w:i w:val="0"/>
                <w:iCs w:val="0"/>
              </w:rPr>
            </w:pPr>
            <w:r w:rsidRPr="002F100E">
              <w:rPr>
                <w:b/>
                <w:bCs/>
                <w:i w:val="0"/>
                <w:iCs w:val="0"/>
              </w:rPr>
              <w:t>Line item</w:t>
            </w:r>
          </w:p>
        </w:tc>
        <w:tc>
          <w:tcPr>
            <w:tcW w:w="1148" w:type="dxa"/>
            <w:noWrap/>
            <w:hideMark/>
          </w:tcPr>
          <w:p w14:paraId="53CCC309" w14:textId="38C25B15" w:rsidR="007D6759" w:rsidRPr="002F100E" w:rsidRDefault="007D6759" w:rsidP="007D6759">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Element</w:t>
            </w:r>
          </w:p>
        </w:tc>
        <w:tc>
          <w:tcPr>
            <w:tcW w:w="1277" w:type="dxa"/>
            <w:noWrap/>
            <w:hideMark/>
          </w:tcPr>
          <w:p w14:paraId="71630430" w14:textId="0E0D6A2A" w:rsidR="007D6759" w:rsidRPr="002F100E" w:rsidRDefault="007D6759" w:rsidP="007D6759">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Subtotal</w:t>
            </w:r>
          </w:p>
        </w:tc>
        <w:tc>
          <w:tcPr>
            <w:tcW w:w="741" w:type="dxa"/>
            <w:noWrap/>
            <w:hideMark/>
          </w:tcPr>
          <w:p w14:paraId="7EA4900F" w14:textId="64AE4EAF" w:rsidR="007D6759" w:rsidRPr="002F100E" w:rsidRDefault="007D6759" w:rsidP="007D6759">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Total</w:t>
            </w:r>
          </w:p>
        </w:tc>
        <w:tc>
          <w:tcPr>
            <w:tcW w:w="1653" w:type="dxa"/>
            <w:noWrap/>
            <w:hideMark/>
          </w:tcPr>
          <w:p w14:paraId="0A377B93" w14:textId="77777777" w:rsidR="007D6759" w:rsidRPr="002F100E" w:rsidRDefault="007D6759" w:rsidP="007D6759">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Unit</w:t>
            </w:r>
          </w:p>
        </w:tc>
        <w:tc>
          <w:tcPr>
            <w:tcW w:w="1926" w:type="dxa"/>
            <w:noWrap/>
            <w:hideMark/>
          </w:tcPr>
          <w:p w14:paraId="0D8C6E14" w14:textId="77777777" w:rsidR="007D6759" w:rsidRPr="002F100E" w:rsidRDefault="007D6759" w:rsidP="007D6759">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2F100E">
              <w:rPr>
                <w:b/>
                <w:bCs/>
                <w:i w:val="0"/>
                <w:iCs w:val="0"/>
              </w:rPr>
              <w:t>Notes</w:t>
            </w:r>
          </w:p>
        </w:tc>
      </w:tr>
      <w:tr w:rsidR="007D6759" w:rsidRPr="007D6759" w14:paraId="4F3D577A"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2684F56A" w14:textId="77777777" w:rsidR="007D6759" w:rsidRPr="007D6759" w:rsidRDefault="007D6759" w:rsidP="008E07A1">
            <w:pPr>
              <w:jc w:val="center"/>
            </w:pPr>
            <w:r w:rsidRPr="007D6759">
              <w:t>Spacecraft cost</w:t>
            </w:r>
          </w:p>
        </w:tc>
        <w:tc>
          <w:tcPr>
            <w:tcW w:w="1148" w:type="dxa"/>
            <w:noWrap/>
            <w:hideMark/>
          </w:tcPr>
          <w:p w14:paraId="55C7A059"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115</w:t>
            </w:r>
          </w:p>
        </w:tc>
        <w:tc>
          <w:tcPr>
            <w:tcW w:w="1277" w:type="dxa"/>
            <w:noWrap/>
            <w:hideMark/>
          </w:tcPr>
          <w:p w14:paraId="665F630D"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741" w:type="dxa"/>
            <w:noWrap/>
            <w:hideMark/>
          </w:tcPr>
          <w:p w14:paraId="7467D910"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653" w:type="dxa"/>
            <w:noWrap/>
            <w:hideMark/>
          </w:tcPr>
          <w:p w14:paraId="4EFF37DE" w14:textId="63C08AF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M$/tug</w:t>
            </w:r>
          </w:p>
        </w:tc>
        <w:tc>
          <w:tcPr>
            <w:tcW w:w="1926" w:type="dxa"/>
            <w:noWrap/>
            <w:hideMark/>
          </w:tcPr>
          <w:p w14:paraId="300F1FA2" w14:textId="77777777"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r>
      <w:tr w:rsidR="007D6759" w:rsidRPr="007D6759" w14:paraId="358E2FAA"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7F51C40D" w14:textId="77777777" w:rsidR="007D6759" w:rsidRPr="007D6759" w:rsidRDefault="007D6759" w:rsidP="008E07A1">
            <w:pPr>
              <w:jc w:val="center"/>
            </w:pPr>
            <w:r w:rsidRPr="007D6759">
              <w:t>Spacecraft launch cost</w:t>
            </w:r>
          </w:p>
        </w:tc>
        <w:tc>
          <w:tcPr>
            <w:tcW w:w="1148" w:type="dxa"/>
            <w:noWrap/>
            <w:hideMark/>
          </w:tcPr>
          <w:p w14:paraId="7EDB13AA"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21</w:t>
            </w:r>
          </w:p>
        </w:tc>
        <w:tc>
          <w:tcPr>
            <w:tcW w:w="1277" w:type="dxa"/>
            <w:noWrap/>
            <w:hideMark/>
          </w:tcPr>
          <w:p w14:paraId="358E6502"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741" w:type="dxa"/>
            <w:noWrap/>
            <w:hideMark/>
          </w:tcPr>
          <w:p w14:paraId="32C5C822"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653" w:type="dxa"/>
            <w:noWrap/>
            <w:hideMark/>
          </w:tcPr>
          <w:p w14:paraId="689B81FD" w14:textId="724D4973"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M$/tug</w:t>
            </w:r>
          </w:p>
        </w:tc>
        <w:tc>
          <w:tcPr>
            <w:tcW w:w="1926" w:type="dxa"/>
            <w:noWrap/>
            <w:hideMark/>
          </w:tcPr>
          <w:p w14:paraId="30D6A53F" w14:textId="57E9D16C"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r>
      <w:tr w:rsidR="007D6759" w:rsidRPr="007D6759" w14:paraId="4ED3248B"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2AC75511" w14:textId="77777777" w:rsidR="007D6759" w:rsidRPr="007D6759" w:rsidRDefault="007D6759" w:rsidP="008E07A1">
            <w:pPr>
              <w:jc w:val="center"/>
            </w:pPr>
            <w:r w:rsidRPr="007D6759">
              <w:t>Spacecraft lifetime</w:t>
            </w:r>
          </w:p>
        </w:tc>
        <w:tc>
          <w:tcPr>
            <w:tcW w:w="1148" w:type="dxa"/>
            <w:tcBorders>
              <w:bottom w:val="single" w:sz="4" w:space="0" w:color="auto"/>
            </w:tcBorders>
            <w:noWrap/>
            <w:hideMark/>
          </w:tcPr>
          <w:p w14:paraId="3C172B84"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15</w:t>
            </w:r>
          </w:p>
        </w:tc>
        <w:tc>
          <w:tcPr>
            <w:tcW w:w="1277" w:type="dxa"/>
            <w:tcBorders>
              <w:bottom w:val="single" w:sz="4" w:space="0" w:color="auto"/>
            </w:tcBorders>
            <w:noWrap/>
            <w:hideMark/>
          </w:tcPr>
          <w:p w14:paraId="5FED4596"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741" w:type="dxa"/>
            <w:noWrap/>
            <w:hideMark/>
          </w:tcPr>
          <w:p w14:paraId="2C937525"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653" w:type="dxa"/>
            <w:noWrap/>
            <w:hideMark/>
          </w:tcPr>
          <w:p w14:paraId="6B76E42D" w14:textId="365C41B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years</w:t>
            </w:r>
          </w:p>
        </w:tc>
        <w:tc>
          <w:tcPr>
            <w:tcW w:w="1926" w:type="dxa"/>
          </w:tcPr>
          <w:p w14:paraId="3001C444" w14:textId="685A4E33"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r>
      <w:tr w:rsidR="007D6759" w:rsidRPr="007D6759" w14:paraId="4D8B0BA4"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152DB90C" w14:textId="7523A14B" w:rsidR="007D6759" w:rsidRPr="00EE6E1E" w:rsidRDefault="007D6759" w:rsidP="008E07A1">
            <w:pPr>
              <w:jc w:val="center"/>
              <w:rPr>
                <w:i w:val="0"/>
                <w:iCs w:val="0"/>
              </w:rPr>
            </w:pPr>
            <w:r w:rsidRPr="00EE6E1E">
              <w:rPr>
                <w:i w:val="0"/>
                <w:iCs w:val="0"/>
              </w:rPr>
              <w:t>Spacecraft replacement cost</w:t>
            </w:r>
          </w:p>
        </w:tc>
        <w:tc>
          <w:tcPr>
            <w:tcW w:w="1148" w:type="dxa"/>
            <w:tcBorders>
              <w:top w:val="single" w:sz="4" w:space="0" w:color="auto"/>
            </w:tcBorders>
            <w:noWrap/>
            <w:hideMark/>
          </w:tcPr>
          <w:p w14:paraId="1620BEF4" w14:textId="132CFB84"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277" w:type="dxa"/>
            <w:tcBorders>
              <w:top w:val="single" w:sz="4" w:space="0" w:color="auto"/>
            </w:tcBorders>
            <w:noWrap/>
            <w:hideMark/>
          </w:tcPr>
          <w:p w14:paraId="014A55F6"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9</w:t>
            </w:r>
          </w:p>
        </w:tc>
        <w:tc>
          <w:tcPr>
            <w:tcW w:w="741" w:type="dxa"/>
            <w:noWrap/>
            <w:hideMark/>
          </w:tcPr>
          <w:p w14:paraId="1BD05E24"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653" w:type="dxa"/>
            <w:noWrap/>
            <w:hideMark/>
          </w:tcPr>
          <w:p w14:paraId="23B83F28"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M$/year</w:t>
            </w:r>
          </w:p>
        </w:tc>
        <w:tc>
          <w:tcPr>
            <w:tcW w:w="1926" w:type="dxa"/>
            <w:noWrap/>
            <w:hideMark/>
          </w:tcPr>
          <w:p w14:paraId="6E5BA9B9"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r>
      <w:tr w:rsidR="007D6759" w:rsidRPr="007D6759" w14:paraId="39DAFDB5"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6A4A642C" w14:textId="77777777" w:rsidR="007D6759" w:rsidRPr="00EE6E1E" w:rsidRDefault="007D6759" w:rsidP="008E07A1">
            <w:pPr>
              <w:jc w:val="center"/>
              <w:rPr>
                <w:i w:val="0"/>
                <w:iCs w:val="0"/>
              </w:rPr>
            </w:pPr>
            <w:r w:rsidRPr="00EE6E1E">
              <w:rPr>
                <w:i w:val="0"/>
                <w:iCs w:val="0"/>
              </w:rPr>
              <w:t>Removal operations cost</w:t>
            </w:r>
          </w:p>
        </w:tc>
        <w:tc>
          <w:tcPr>
            <w:tcW w:w="1148" w:type="dxa"/>
            <w:noWrap/>
            <w:hideMark/>
          </w:tcPr>
          <w:p w14:paraId="42F1E4C5" w14:textId="3FB9A3FC"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277" w:type="dxa"/>
            <w:noWrap/>
            <w:hideMark/>
          </w:tcPr>
          <w:p w14:paraId="54E22BE9"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3</w:t>
            </w:r>
          </w:p>
        </w:tc>
        <w:tc>
          <w:tcPr>
            <w:tcW w:w="741" w:type="dxa"/>
            <w:noWrap/>
            <w:hideMark/>
          </w:tcPr>
          <w:p w14:paraId="03BB7B64"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653" w:type="dxa"/>
            <w:noWrap/>
            <w:hideMark/>
          </w:tcPr>
          <w:p w14:paraId="4A795477"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M$/year</w:t>
            </w:r>
          </w:p>
        </w:tc>
        <w:tc>
          <w:tcPr>
            <w:tcW w:w="1926" w:type="dxa"/>
            <w:noWrap/>
            <w:hideMark/>
          </w:tcPr>
          <w:p w14:paraId="2BAA285B" w14:textId="4214FDFF"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D6759">
              <w:t>Table 3</w:t>
            </w:r>
            <w:r w:rsidR="008B3C38">
              <w:t>5</w:t>
            </w:r>
            <w:r w:rsidRPr="007D6759">
              <w:t xml:space="preserve"> of Phase 1</w:t>
            </w:r>
            <w:r w:rsidR="00C113C4">
              <w:t>, annualized</w:t>
            </w:r>
          </w:p>
        </w:tc>
      </w:tr>
      <w:tr w:rsidR="007D6759" w:rsidRPr="007D6759" w14:paraId="5289B5A7"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2143C9A5" w14:textId="77777777" w:rsidR="007D6759" w:rsidRPr="007D6759" w:rsidRDefault="007D6759" w:rsidP="008E07A1">
            <w:pPr>
              <w:jc w:val="center"/>
            </w:pPr>
            <w:r w:rsidRPr="007D6759">
              <w:t>Fuel mass delivered during refueling</w:t>
            </w:r>
          </w:p>
        </w:tc>
        <w:tc>
          <w:tcPr>
            <w:tcW w:w="1148" w:type="dxa"/>
            <w:noWrap/>
            <w:hideMark/>
          </w:tcPr>
          <w:p w14:paraId="409B7DF5"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17907</w:t>
            </w:r>
          </w:p>
        </w:tc>
        <w:tc>
          <w:tcPr>
            <w:tcW w:w="1277" w:type="dxa"/>
            <w:noWrap/>
            <w:hideMark/>
          </w:tcPr>
          <w:p w14:paraId="283BF0A1"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741" w:type="dxa"/>
            <w:noWrap/>
            <w:hideMark/>
          </w:tcPr>
          <w:p w14:paraId="1E8B150D"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653" w:type="dxa"/>
            <w:noWrap/>
            <w:hideMark/>
          </w:tcPr>
          <w:p w14:paraId="58B34EEA"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kg/delivery</w:t>
            </w:r>
          </w:p>
        </w:tc>
        <w:tc>
          <w:tcPr>
            <w:tcW w:w="1926" w:type="dxa"/>
            <w:noWrap/>
            <w:hideMark/>
          </w:tcPr>
          <w:p w14:paraId="71E753E0" w14:textId="1ADB27DF" w:rsidR="007D6759" w:rsidRPr="007D6759" w:rsidRDefault="00E70C2B" w:rsidP="007D6759">
            <w:pPr>
              <w:jc w:val="center"/>
              <w:cnfStyle w:val="000000000000" w:firstRow="0" w:lastRow="0" w:firstColumn="0" w:lastColumn="0" w:oddVBand="0" w:evenVBand="0" w:oddHBand="0" w:evenHBand="0" w:firstRowFirstColumn="0" w:firstRowLastColumn="0" w:lastRowFirstColumn="0" w:lastRowLastColumn="0"/>
            </w:pPr>
            <w:r>
              <w:t>Table 35 of Phase 1,</w:t>
            </w:r>
            <w:r w:rsidR="007D6759" w:rsidRPr="007D6759">
              <w:t xml:space="preserve"> scaled from 7 </w:t>
            </w:r>
            <w:r w:rsidR="00D90115">
              <w:t>tugs</w:t>
            </w:r>
            <w:r w:rsidR="007D6759" w:rsidRPr="007D6759">
              <w:t xml:space="preserve"> to 1</w:t>
            </w:r>
          </w:p>
        </w:tc>
      </w:tr>
      <w:tr w:rsidR="007D6759" w:rsidRPr="007D6759" w14:paraId="2DCEA58C"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080ABC7C" w14:textId="77777777" w:rsidR="007D6759" w:rsidRPr="007D6759" w:rsidRDefault="007D6759" w:rsidP="008E07A1">
            <w:pPr>
              <w:jc w:val="center"/>
            </w:pPr>
            <w:r w:rsidRPr="007D6759">
              <w:t>Launch cost per kg of fuel delivery</w:t>
            </w:r>
          </w:p>
        </w:tc>
        <w:tc>
          <w:tcPr>
            <w:tcW w:w="1148" w:type="dxa"/>
            <w:noWrap/>
            <w:hideMark/>
          </w:tcPr>
          <w:p w14:paraId="1EED9B58"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15000</w:t>
            </w:r>
          </w:p>
        </w:tc>
        <w:tc>
          <w:tcPr>
            <w:tcW w:w="1277" w:type="dxa"/>
            <w:noWrap/>
            <w:hideMark/>
          </w:tcPr>
          <w:p w14:paraId="1C6D3E96"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741" w:type="dxa"/>
            <w:noWrap/>
            <w:hideMark/>
          </w:tcPr>
          <w:p w14:paraId="2606BC23"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653" w:type="dxa"/>
            <w:noWrap/>
            <w:hideMark/>
          </w:tcPr>
          <w:p w14:paraId="6B6C54AB"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$/kg</w:t>
            </w:r>
          </w:p>
        </w:tc>
        <w:tc>
          <w:tcPr>
            <w:tcW w:w="1926" w:type="dxa"/>
            <w:noWrap/>
            <w:hideMark/>
          </w:tcPr>
          <w:p w14:paraId="35F908AD" w14:textId="77777777"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r>
      <w:tr w:rsidR="007D6759" w:rsidRPr="007D6759" w14:paraId="2CF54098"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6BB1B762" w14:textId="77777777" w:rsidR="007D6759" w:rsidRPr="007D6759" w:rsidRDefault="007D6759" w:rsidP="008E07A1">
            <w:pPr>
              <w:jc w:val="center"/>
            </w:pPr>
            <w:r w:rsidRPr="007D6759">
              <w:t>Total cost to put fuel on orbit</w:t>
            </w:r>
          </w:p>
        </w:tc>
        <w:tc>
          <w:tcPr>
            <w:tcW w:w="1148" w:type="dxa"/>
            <w:noWrap/>
            <w:hideMark/>
          </w:tcPr>
          <w:p w14:paraId="1BD52E67"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269</w:t>
            </w:r>
          </w:p>
        </w:tc>
        <w:tc>
          <w:tcPr>
            <w:tcW w:w="1277" w:type="dxa"/>
            <w:noWrap/>
            <w:hideMark/>
          </w:tcPr>
          <w:p w14:paraId="5C61EC60"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741" w:type="dxa"/>
            <w:noWrap/>
            <w:hideMark/>
          </w:tcPr>
          <w:p w14:paraId="33B5F93D"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653" w:type="dxa"/>
            <w:noWrap/>
            <w:hideMark/>
          </w:tcPr>
          <w:p w14:paraId="6727753F"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M$/delivery</w:t>
            </w:r>
          </w:p>
        </w:tc>
        <w:tc>
          <w:tcPr>
            <w:tcW w:w="1926" w:type="dxa"/>
            <w:noWrap/>
            <w:hideMark/>
          </w:tcPr>
          <w:p w14:paraId="6FC9D4CA" w14:textId="14984FFA"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r>
      <w:tr w:rsidR="003B27A0" w:rsidRPr="007D6759" w14:paraId="352B4857"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57BBE0C2" w14:textId="77777777" w:rsidR="007D6759" w:rsidRPr="007D6759" w:rsidRDefault="007D6759" w:rsidP="008E07A1">
            <w:pPr>
              <w:jc w:val="center"/>
            </w:pPr>
            <w:r w:rsidRPr="007D6759">
              <w:t>Depot fuel storage capacity</w:t>
            </w:r>
          </w:p>
        </w:tc>
        <w:tc>
          <w:tcPr>
            <w:tcW w:w="1148" w:type="dxa"/>
            <w:tcBorders>
              <w:bottom w:val="single" w:sz="4" w:space="0" w:color="auto"/>
            </w:tcBorders>
            <w:noWrap/>
            <w:hideMark/>
          </w:tcPr>
          <w:p w14:paraId="5DAA4EA3"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15</w:t>
            </w:r>
          </w:p>
        </w:tc>
        <w:tc>
          <w:tcPr>
            <w:tcW w:w="1277" w:type="dxa"/>
            <w:tcBorders>
              <w:bottom w:val="single" w:sz="4" w:space="0" w:color="auto"/>
            </w:tcBorders>
            <w:noWrap/>
            <w:hideMark/>
          </w:tcPr>
          <w:p w14:paraId="6997AD16"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741" w:type="dxa"/>
            <w:noWrap/>
            <w:hideMark/>
          </w:tcPr>
          <w:p w14:paraId="7AD81814"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653" w:type="dxa"/>
            <w:noWrap/>
            <w:hideMark/>
          </w:tcPr>
          <w:p w14:paraId="3F3865D3" w14:textId="344A0ABA" w:rsidR="007D6759" w:rsidRPr="00744B61" w:rsidRDefault="000077A4" w:rsidP="007D6759">
            <w:pPr>
              <w:jc w:val="center"/>
              <w:cnfStyle w:val="000000100000" w:firstRow="0" w:lastRow="0" w:firstColumn="0" w:lastColumn="0" w:oddVBand="0" w:evenVBand="0" w:oddHBand="1" w:evenHBand="0" w:firstRowFirstColumn="0" w:firstRowLastColumn="0" w:lastRowFirstColumn="0" w:lastRowLastColumn="0"/>
            </w:pPr>
            <w:r>
              <w:t>y</w:t>
            </w:r>
            <w:r w:rsidR="007D6759" w:rsidRPr="00744B61">
              <w:t>ears</w:t>
            </w:r>
            <w:r>
              <w:t>/delivery</w:t>
            </w:r>
          </w:p>
        </w:tc>
        <w:tc>
          <w:tcPr>
            <w:tcW w:w="1926" w:type="dxa"/>
          </w:tcPr>
          <w:p w14:paraId="4F20B778" w14:textId="71EA291E"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r>
      <w:tr w:rsidR="007D6759" w:rsidRPr="007D6759" w14:paraId="683313D0"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588311F6" w14:textId="77777777" w:rsidR="007D6759" w:rsidRPr="00BB75F0" w:rsidRDefault="007D6759" w:rsidP="008E07A1">
            <w:pPr>
              <w:jc w:val="center"/>
              <w:rPr>
                <w:i w:val="0"/>
                <w:iCs w:val="0"/>
              </w:rPr>
            </w:pPr>
            <w:r w:rsidRPr="00BB75F0">
              <w:rPr>
                <w:i w:val="0"/>
                <w:iCs w:val="0"/>
              </w:rPr>
              <w:lastRenderedPageBreak/>
              <w:t>Annualized cost of fuel delivery</w:t>
            </w:r>
          </w:p>
        </w:tc>
        <w:tc>
          <w:tcPr>
            <w:tcW w:w="1148" w:type="dxa"/>
            <w:tcBorders>
              <w:top w:val="single" w:sz="4" w:space="0" w:color="auto"/>
            </w:tcBorders>
            <w:noWrap/>
            <w:hideMark/>
          </w:tcPr>
          <w:p w14:paraId="3754FAD6" w14:textId="4FD4DAC1"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277" w:type="dxa"/>
            <w:tcBorders>
              <w:top w:val="single" w:sz="4" w:space="0" w:color="auto"/>
            </w:tcBorders>
            <w:noWrap/>
            <w:hideMark/>
          </w:tcPr>
          <w:p w14:paraId="5227AFDE"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18</w:t>
            </w:r>
          </w:p>
        </w:tc>
        <w:tc>
          <w:tcPr>
            <w:tcW w:w="741" w:type="dxa"/>
            <w:noWrap/>
            <w:hideMark/>
          </w:tcPr>
          <w:p w14:paraId="5792C677"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653" w:type="dxa"/>
            <w:noWrap/>
            <w:hideMark/>
          </w:tcPr>
          <w:p w14:paraId="34D4B5DF" w14:textId="77777777" w:rsidR="007D6759" w:rsidRPr="00744B61"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44B61">
              <w:t>M$/year</w:t>
            </w:r>
          </w:p>
        </w:tc>
        <w:tc>
          <w:tcPr>
            <w:tcW w:w="1926" w:type="dxa"/>
            <w:noWrap/>
            <w:hideMark/>
          </w:tcPr>
          <w:p w14:paraId="5F520267"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r>
      <w:tr w:rsidR="007D6759" w:rsidRPr="007D6759" w14:paraId="23A917D4"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0A8C1012" w14:textId="77777777" w:rsidR="007D6759" w:rsidRPr="007D6759" w:rsidRDefault="007D6759" w:rsidP="008E07A1">
            <w:pPr>
              <w:jc w:val="center"/>
            </w:pPr>
            <w:r w:rsidRPr="007D6759">
              <w:t>OrbitFab architecture cost</w:t>
            </w:r>
          </w:p>
        </w:tc>
        <w:tc>
          <w:tcPr>
            <w:tcW w:w="1148" w:type="dxa"/>
            <w:tcBorders>
              <w:bottom w:val="single" w:sz="4" w:space="0" w:color="auto"/>
            </w:tcBorders>
            <w:noWrap/>
            <w:hideMark/>
          </w:tcPr>
          <w:p w14:paraId="3A513F88" w14:textId="2356F168" w:rsidR="007D6759" w:rsidRPr="00744B61" w:rsidRDefault="00283CA8" w:rsidP="007D6759">
            <w:pPr>
              <w:jc w:val="center"/>
              <w:cnfStyle w:val="000000100000" w:firstRow="0" w:lastRow="0" w:firstColumn="0" w:lastColumn="0" w:oddVBand="0" w:evenVBand="0" w:oddHBand="1" w:evenHBand="0" w:firstRowFirstColumn="0" w:firstRowLastColumn="0" w:lastRowFirstColumn="0" w:lastRowLastColumn="0"/>
            </w:pPr>
            <w:r>
              <w:t>225</w:t>
            </w:r>
          </w:p>
        </w:tc>
        <w:tc>
          <w:tcPr>
            <w:tcW w:w="1277" w:type="dxa"/>
            <w:tcBorders>
              <w:bottom w:val="single" w:sz="4" w:space="0" w:color="auto"/>
            </w:tcBorders>
            <w:noWrap/>
            <w:hideMark/>
          </w:tcPr>
          <w:p w14:paraId="59FF18B3"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741" w:type="dxa"/>
            <w:noWrap/>
            <w:hideMark/>
          </w:tcPr>
          <w:p w14:paraId="2A637221"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653" w:type="dxa"/>
            <w:noWrap/>
            <w:hideMark/>
          </w:tcPr>
          <w:p w14:paraId="441E336E" w14:textId="77777777" w:rsidR="007D6759" w:rsidRPr="00744B61"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44B61">
              <w:t>M$</w:t>
            </w:r>
          </w:p>
        </w:tc>
        <w:tc>
          <w:tcPr>
            <w:tcW w:w="1926" w:type="dxa"/>
            <w:noWrap/>
            <w:hideMark/>
          </w:tcPr>
          <w:p w14:paraId="55A7DBD3" w14:textId="351051D7"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D6759">
              <w:t>Table 3</w:t>
            </w:r>
            <w:r w:rsidR="008B3C38">
              <w:t>5</w:t>
            </w:r>
            <w:r w:rsidRPr="007D6759">
              <w:t xml:space="preserve"> of Phase 1, scaled from 7 </w:t>
            </w:r>
            <w:r w:rsidR="00D90115">
              <w:t>tugs</w:t>
            </w:r>
            <w:r w:rsidRPr="007D6759">
              <w:t xml:space="preserve"> to 1</w:t>
            </w:r>
          </w:p>
        </w:tc>
      </w:tr>
      <w:tr w:rsidR="007D6759" w:rsidRPr="007D6759" w14:paraId="36BD57DF"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2903E241" w14:textId="0BFBD338" w:rsidR="007D6759" w:rsidRPr="00EB766C" w:rsidRDefault="007D6759" w:rsidP="008E07A1">
            <w:pPr>
              <w:jc w:val="center"/>
              <w:rPr>
                <w:i w:val="0"/>
                <w:iCs w:val="0"/>
              </w:rPr>
            </w:pPr>
            <w:r w:rsidRPr="00EB766C">
              <w:rPr>
                <w:i w:val="0"/>
                <w:iCs w:val="0"/>
              </w:rPr>
              <w:t>Annualized architecture cost</w:t>
            </w:r>
          </w:p>
        </w:tc>
        <w:tc>
          <w:tcPr>
            <w:tcW w:w="1148" w:type="dxa"/>
            <w:tcBorders>
              <w:top w:val="single" w:sz="4" w:space="0" w:color="auto"/>
              <w:bottom w:val="single" w:sz="4" w:space="0" w:color="auto"/>
            </w:tcBorders>
            <w:noWrap/>
            <w:hideMark/>
          </w:tcPr>
          <w:p w14:paraId="150BA0F9" w14:textId="33D900A5"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277" w:type="dxa"/>
            <w:tcBorders>
              <w:top w:val="single" w:sz="4" w:space="0" w:color="auto"/>
              <w:bottom w:val="single" w:sz="4" w:space="0" w:color="auto"/>
            </w:tcBorders>
            <w:noWrap/>
            <w:hideMark/>
          </w:tcPr>
          <w:p w14:paraId="7A2B1D43" w14:textId="5D64600B" w:rsidR="007D6759" w:rsidRPr="007D6759" w:rsidRDefault="00EB766C" w:rsidP="007D6759">
            <w:pPr>
              <w:jc w:val="center"/>
              <w:cnfStyle w:val="000000000000" w:firstRow="0" w:lastRow="0" w:firstColumn="0" w:lastColumn="0" w:oddVBand="0" w:evenVBand="0" w:oddHBand="0" w:evenHBand="0" w:firstRowFirstColumn="0" w:firstRowLastColumn="0" w:lastRowFirstColumn="0" w:lastRowLastColumn="0"/>
            </w:pPr>
            <w:r>
              <w:t>15</w:t>
            </w:r>
          </w:p>
        </w:tc>
        <w:tc>
          <w:tcPr>
            <w:tcW w:w="741" w:type="dxa"/>
            <w:tcBorders>
              <w:bottom w:val="single" w:sz="4" w:space="0" w:color="auto"/>
            </w:tcBorders>
            <w:noWrap/>
            <w:hideMark/>
          </w:tcPr>
          <w:p w14:paraId="630E8501"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653" w:type="dxa"/>
            <w:noWrap/>
            <w:hideMark/>
          </w:tcPr>
          <w:p w14:paraId="3F116655"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D6759">
              <w:t>M$/year</w:t>
            </w:r>
          </w:p>
        </w:tc>
        <w:tc>
          <w:tcPr>
            <w:tcW w:w="1926" w:type="dxa"/>
            <w:noWrap/>
            <w:hideMark/>
          </w:tcPr>
          <w:p w14:paraId="198FA518"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r>
      <w:tr w:rsidR="007D6759" w:rsidRPr="007D6759" w14:paraId="78961590"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tcBorders>
              <w:bottom w:val="single" w:sz="4" w:space="0" w:color="auto"/>
            </w:tcBorders>
            <w:noWrap/>
            <w:hideMark/>
          </w:tcPr>
          <w:p w14:paraId="18E0CACC" w14:textId="6EC57137" w:rsidR="007D6759" w:rsidRPr="00EB766C" w:rsidRDefault="007D6759" w:rsidP="008E07A1">
            <w:pPr>
              <w:jc w:val="center"/>
              <w:rPr>
                <w:b/>
                <w:bCs/>
                <w:i w:val="0"/>
                <w:iCs w:val="0"/>
              </w:rPr>
            </w:pPr>
            <w:r w:rsidRPr="00EB766C">
              <w:rPr>
                <w:b/>
                <w:bCs/>
                <w:i w:val="0"/>
                <w:iCs w:val="0"/>
              </w:rPr>
              <w:t>Running cost</w:t>
            </w:r>
          </w:p>
        </w:tc>
        <w:tc>
          <w:tcPr>
            <w:tcW w:w="1148" w:type="dxa"/>
            <w:tcBorders>
              <w:top w:val="single" w:sz="4" w:space="0" w:color="auto"/>
              <w:bottom w:val="single" w:sz="4" w:space="0" w:color="auto"/>
            </w:tcBorders>
            <w:noWrap/>
            <w:hideMark/>
          </w:tcPr>
          <w:p w14:paraId="02D0C436" w14:textId="26FA8E50"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277" w:type="dxa"/>
            <w:tcBorders>
              <w:top w:val="single" w:sz="4" w:space="0" w:color="auto"/>
              <w:bottom w:val="single" w:sz="4" w:space="0" w:color="auto"/>
            </w:tcBorders>
            <w:noWrap/>
            <w:hideMark/>
          </w:tcPr>
          <w:p w14:paraId="1E0405C4" w14:textId="75325AC4"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741" w:type="dxa"/>
            <w:tcBorders>
              <w:top w:val="single" w:sz="4" w:space="0" w:color="auto"/>
              <w:bottom w:val="single" w:sz="4" w:space="0" w:color="auto"/>
            </w:tcBorders>
            <w:noWrap/>
            <w:hideMark/>
          </w:tcPr>
          <w:p w14:paraId="1B5DE1E3" w14:textId="35409673" w:rsidR="007D6759" w:rsidRPr="007D6759" w:rsidRDefault="00EB766C" w:rsidP="007D6759">
            <w:pPr>
              <w:jc w:val="center"/>
              <w:cnfStyle w:val="000000100000" w:firstRow="0" w:lastRow="0" w:firstColumn="0" w:lastColumn="0" w:oddVBand="0" w:evenVBand="0" w:oddHBand="1" w:evenHBand="0" w:firstRowFirstColumn="0" w:firstRowLastColumn="0" w:lastRowFirstColumn="0" w:lastRowLastColumn="0"/>
            </w:pPr>
            <w:r>
              <w:t>45</w:t>
            </w:r>
          </w:p>
        </w:tc>
        <w:tc>
          <w:tcPr>
            <w:tcW w:w="1653" w:type="dxa"/>
            <w:tcBorders>
              <w:bottom w:val="single" w:sz="4" w:space="0" w:color="auto"/>
            </w:tcBorders>
            <w:noWrap/>
            <w:hideMark/>
          </w:tcPr>
          <w:p w14:paraId="7BAF75FC" w14:textId="77777777"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D6759">
              <w:t>M$/year</w:t>
            </w:r>
          </w:p>
        </w:tc>
        <w:tc>
          <w:tcPr>
            <w:tcW w:w="1926" w:type="dxa"/>
            <w:tcBorders>
              <w:bottom w:val="single" w:sz="4" w:space="0" w:color="auto"/>
            </w:tcBorders>
            <w:noWrap/>
            <w:hideMark/>
          </w:tcPr>
          <w:p w14:paraId="154E516A" w14:textId="77777777"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r>
      <w:tr w:rsidR="007D6759" w:rsidRPr="007D6759" w14:paraId="1A59B503"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tcBorders>
              <w:top w:val="single" w:sz="4" w:space="0" w:color="auto"/>
            </w:tcBorders>
            <w:noWrap/>
            <w:hideMark/>
          </w:tcPr>
          <w:p w14:paraId="30C62F26" w14:textId="77777777" w:rsidR="007D6759" w:rsidRPr="00EB766C" w:rsidRDefault="007D6759" w:rsidP="008E07A1">
            <w:pPr>
              <w:jc w:val="center"/>
              <w:rPr>
                <w:i w:val="0"/>
                <w:iCs w:val="0"/>
              </w:rPr>
            </w:pPr>
            <w:r w:rsidRPr="00EB766C">
              <w:rPr>
                <w:i w:val="0"/>
                <w:iCs w:val="0"/>
              </w:rPr>
              <w:t>NRE</w:t>
            </w:r>
          </w:p>
        </w:tc>
        <w:tc>
          <w:tcPr>
            <w:tcW w:w="1148" w:type="dxa"/>
            <w:tcBorders>
              <w:top w:val="single" w:sz="4" w:space="0" w:color="auto"/>
            </w:tcBorders>
            <w:noWrap/>
            <w:hideMark/>
          </w:tcPr>
          <w:p w14:paraId="3E0B859E"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277" w:type="dxa"/>
            <w:tcBorders>
              <w:top w:val="single" w:sz="4" w:space="0" w:color="auto"/>
            </w:tcBorders>
            <w:noWrap/>
            <w:hideMark/>
          </w:tcPr>
          <w:p w14:paraId="5B11DCCF" w14:textId="67179F7E" w:rsidR="007D6759" w:rsidRPr="007D6759" w:rsidRDefault="00EB766C" w:rsidP="007D6759">
            <w:pPr>
              <w:jc w:val="center"/>
              <w:cnfStyle w:val="000000000000" w:firstRow="0" w:lastRow="0" w:firstColumn="0" w:lastColumn="0" w:oddVBand="0" w:evenVBand="0" w:oddHBand="0" w:evenHBand="0" w:firstRowFirstColumn="0" w:firstRowLastColumn="0" w:lastRowFirstColumn="0" w:lastRowLastColumn="0"/>
            </w:pPr>
            <w:r>
              <w:t>722</w:t>
            </w:r>
          </w:p>
        </w:tc>
        <w:tc>
          <w:tcPr>
            <w:tcW w:w="741" w:type="dxa"/>
            <w:tcBorders>
              <w:top w:val="single" w:sz="4" w:space="0" w:color="auto"/>
            </w:tcBorders>
            <w:noWrap/>
            <w:hideMark/>
          </w:tcPr>
          <w:p w14:paraId="5750C5F1"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653" w:type="dxa"/>
            <w:tcBorders>
              <w:top w:val="single" w:sz="4" w:space="0" w:color="auto"/>
            </w:tcBorders>
            <w:noWrap/>
            <w:hideMark/>
          </w:tcPr>
          <w:p w14:paraId="50C69919"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D6759">
              <w:t>M$</w:t>
            </w:r>
          </w:p>
        </w:tc>
        <w:tc>
          <w:tcPr>
            <w:tcW w:w="1926" w:type="dxa"/>
            <w:tcBorders>
              <w:top w:val="single" w:sz="4" w:space="0" w:color="auto"/>
            </w:tcBorders>
            <w:noWrap/>
            <w:hideMark/>
          </w:tcPr>
          <w:p w14:paraId="6DEC3928" w14:textId="654F19A2"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r>
      <w:tr w:rsidR="007D6759" w:rsidRPr="007D6759" w14:paraId="27CD6B86" w14:textId="77777777" w:rsidTr="008E07A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7E81E2C4" w14:textId="3309E290" w:rsidR="007D6759" w:rsidRPr="00EB766C" w:rsidRDefault="007D6759" w:rsidP="008E07A1">
            <w:pPr>
              <w:jc w:val="center"/>
              <w:rPr>
                <w:i w:val="0"/>
                <w:iCs w:val="0"/>
              </w:rPr>
            </w:pPr>
            <w:r w:rsidRPr="00EB766C">
              <w:rPr>
                <w:i w:val="0"/>
                <w:iCs w:val="0"/>
              </w:rPr>
              <w:t xml:space="preserve">First operational </w:t>
            </w:r>
            <w:r w:rsidR="00AD3C08">
              <w:rPr>
                <w:i w:val="0"/>
                <w:iCs w:val="0"/>
              </w:rPr>
              <w:t>system</w:t>
            </w:r>
          </w:p>
        </w:tc>
        <w:tc>
          <w:tcPr>
            <w:tcW w:w="1148" w:type="dxa"/>
            <w:tcBorders>
              <w:bottom w:val="single" w:sz="4" w:space="0" w:color="auto"/>
            </w:tcBorders>
            <w:noWrap/>
            <w:hideMark/>
          </w:tcPr>
          <w:p w14:paraId="57E57FA0" w14:textId="27D10AE3"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277" w:type="dxa"/>
            <w:tcBorders>
              <w:bottom w:val="single" w:sz="4" w:space="0" w:color="auto"/>
            </w:tcBorders>
            <w:noWrap/>
            <w:hideMark/>
          </w:tcPr>
          <w:p w14:paraId="1A5DF1B9" w14:textId="47FB604E" w:rsidR="007D6759" w:rsidRPr="007D6759" w:rsidRDefault="00603D00" w:rsidP="007D6759">
            <w:pPr>
              <w:jc w:val="center"/>
              <w:cnfStyle w:val="000000100000" w:firstRow="0" w:lastRow="0" w:firstColumn="0" w:lastColumn="0" w:oddVBand="0" w:evenVBand="0" w:oddHBand="1" w:evenHBand="0" w:firstRowFirstColumn="0" w:firstRowLastColumn="0" w:lastRowFirstColumn="0" w:lastRowLastColumn="0"/>
            </w:pPr>
            <w:r>
              <w:t>673</w:t>
            </w:r>
          </w:p>
        </w:tc>
        <w:tc>
          <w:tcPr>
            <w:tcW w:w="741" w:type="dxa"/>
            <w:tcBorders>
              <w:bottom w:val="single" w:sz="4" w:space="0" w:color="auto"/>
            </w:tcBorders>
            <w:noWrap/>
            <w:hideMark/>
          </w:tcPr>
          <w:p w14:paraId="210EFC75" w14:textId="77777777"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c>
          <w:tcPr>
            <w:tcW w:w="1653" w:type="dxa"/>
            <w:noWrap/>
            <w:hideMark/>
          </w:tcPr>
          <w:p w14:paraId="56F7DB76" w14:textId="77777777"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r w:rsidRPr="007D6759">
              <w:t>M$</w:t>
            </w:r>
          </w:p>
        </w:tc>
        <w:tc>
          <w:tcPr>
            <w:tcW w:w="1926" w:type="dxa"/>
            <w:noWrap/>
            <w:hideMark/>
          </w:tcPr>
          <w:p w14:paraId="7DAB183A" w14:textId="4CB504A5" w:rsidR="007D6759" w:rsidRPr="007D6759" w:rsidRDefault="007D6759" w:rsidP="007D6759">
            <w:pPr>
              <w:jc w:val="center"/>
              <w:cnfStyle w:val="000000100000" w:firstRow="0" w:lastRow="0" w:firstColumn="0" w:lastColumn="0" w:oddVBand="0" w:evenVBand="0" w:oddHBand="1" w:evenHBand="0" w:firstRowFirstColumn="0" w:firstRowLastColumn="0" w:lastRowFirstColumn="0" w:lastRowLastColumn="0"/>
            </w:pPr>
          </w:p>
        </w:tc>
      </w:tr>
      <w:tr w:rsidR="007D6759" w:rsidRPr="007D6759" w14:paraId="21316DFF" w14:textId="77777777" w:rsidTr="008E07A1">
        <w:trPr>
          <w:trHeight w:val="320"/>
        </w:trPr>
        <w:tc>
          <w:tcPr>
            <w:cnfStyle w:val="001000000000" w:firstRow="0" w:lastRow="0" w:firstColumn="1" w:lastColumn="0" w:oddVBand="0" w:evenVBand="0" w:oddHBand="0" w:evenHBand="0" w:firstRowFirstColumn="0" w:firstRowLastColumn="0" w:lastRowFirstColumn="0" w:lastRowLastColumn="0"/>
            <w:tcW w:w="2615" w:type="dxa"/>
            <w:tcBorders>
              <w:bottom w:val="single" w:sz="4" w:space="0" w:color="auto"/>
            </w:tcBorders>
            <w:noWrap/>
            <w:hideMark/>
          </w:tcPr>
          <w:p w14:paraId="0EA2B04D" w14:textId="0CEA0C21" w:rsidR="007D6759" w:rsidRPr="00EB766C" w:rsidRDefault="007D6759" w:rsidP="008E07A1">
            <w:pPr>
              <w:jc w:val="center"/>
              <w:rPr>
                <w:b/>
                <w:bCs/>
                <w:i w:val="0"/>
                <w:iCs w:val="0"/>
              </w:rPr>
            </w:pPr>
            <w:r w:rsidRPr="00EB766C">
              <w:rPr>
                <w:b/>
                <w:bCs/>
                <w:i w:val="0"/>
                <w:iCs w:val="0"/>
              </w:rPr>
              <w:t>Up-front cost</w:t>
            </w:r>
          </w:p>
        </w:tc>
        <w:tc>
          <w:tcPr>
            <w:tcW w:w="1148" w:type="dxa"/>
            <w:tcBorders>
              <w:top w:val="single" w:sz="4" w:space="0" w:color="auto"/>
              <w:bottom w:val="single" w:sz="4" w:space="0" w:color="auto"/>
            </w:tcBorders>
            <w:noWrap/>
            <w:hideMark/>
          </w:tcPr>
          <w:p w14:paraId="12522B6E" w14:textId="199B7FB5"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1277" w:type="dxa"/>
            <w:tcBorders>
              <w:top w:val="single" w:sz="4" w:space="0" w:color="auto"/>
              <w:bottom w:val="single" w:sz="4" w:space="0" w:color="auto"/>
            </w:tcBorders>
            <w:noWrap/>
            <w:hideMark/>
          </w:tcPr>
          <w:p w14:paraId="7558C9F0" w14:textId="7D7F030A"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c>
          <w:tcPr>
            <w:tcW w:w="741" w:type="dxa"/>
            <w:tcBorders>
              <w:top w:val="single" w:sz="4" w:space="0" w:color="auto"/>
              <w:bottom w:val="single" w:sz="4" w:space="0" w:color="auto"/>
            </w:tcBorders>
            <w:noWrap/>
            <w:hideMark/>
          </w:tcPr>
          <w:p w14:paraId="6A47F81E" w14:textId="4401315C" w:rsidR="007D6759" w:rsidRPr="007D6759" w:rsidRDefault="00603D00" w:rsidP="007D6759">
            <w:pPr>
              <w:jc w:val="center"/>
              <w:cnfStyle w:val="000000000000" w:firstRow="0" w:lastRow="0" w:firstColumn="0" w:lastColumn="0" w:oddVBand="0" w:evenVBand="0" w:oddHBand="0" w:evenHBand="0" w:firstRowFirstColumn="0" w:firstRowLastColumn="0" w:lastRowFirstColumn="0" w:lastRowLastColumn="0"/>
            </w:pPr>
            <w:r>
              <w:t>1395</w:t>
            </w:r>
          </w:p>
        </w:tc>
        <w:tc>
          <w:tcPr>
            <w:tcW w:w="1653" w:type="dxa"/>
            <w:tcBorders>
              <w:bottom w:val="single" w:sz="4" w:space="0" w:color="auto"/>
            </w:tcBorders>
            <w:noWrap/>
            <w:hideMark/>
          </w:tcPr>
          <w:p w14:paraId="6606815F"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r w:rsidRPr="007D6759">
              <w:t>M$</w:t>
            </w:r>
          </w:p>
        </w:tc>
        <w:tc>
          <w:tcPr>
            <w:tcW w:w="1926" w:type="dxa"/>
            <w:tcBorders>
              <w:bottom w:val="single" w:sz="4" w:space="0" w:color="auto"/>
            </w:tcBorders>
            <w:noWrap/>
            <w:hideMark/>
          </w:tcPr>
          <w:p w14:paraId="229DF7A0" w14:textId="77777777" w:rsidR="007D6759" w:rsidRPr="007D6759" w:rsidRDefault="007D6759" w:rsidP="007D6759">
            <w:pPr>
              <w:jc w:val="center"/>
              <w:cnfStyle w:val="000000000000" w:firstRow="0" w:lastRow="0" w:firstColumn="0" w:lastColumn="0" w:oddVBand="0" w:evenVBand="0" w:oddHBand="0" w:evenHBand="0" w:firstRowFirstColumn="0" w:firstRowLastColumn="0" w:lastRowFirstColumn="0" w:lastRowLastColumn="0"/>
            </w:pPr>
          </w:p>
        </w:tc>
      </w:tr>
    </w:tbl>
    <w:p w14:paraId="3EC5E44F" w14:textId="77777777" w:rsidR="005F598D" w:rsidRDefault="005F598D" w:rsidP="00C57275"/>
    <w:p w14:paraId="6B3F30AE" w14:textId="0A0E371F" w:rsidR="00AD02FD" w:rsidRDefault="00AD02FD" w:rsidP="00581647">
      <w:pPr>
        <w:pStyle w:val="Caption"/>
        <w:keepNext/>
      </w:pPr>
      <w:r>
        <w:t xml:space="preserve">Table </w:t>
      </w:r>
      <w:r>
        <w:fldChar w:fldCharType="begin"/>
      </w:r>
      <w:r>
        <w:instrText xml:space="preserve"> SEQ Table \* ARABIC </w:instrText>
      </w:r>
      <w:r>
        <w:fldChar w:fldCharType="separate"/>
      </w:r>
      <w:r w:rsidR="001F0D0C">
        <w:rPr>
          <w:noProof/>
        </w:rPr>
        <w:t>11</w:t>
      </w:r>
      <w:r>
        <w:rPr>
          <w:noProof/>
        </w:rPr>
        <w:fldChar w:fldCharType="end"/>
      </w:r>
      <w:r>
        <w:t xml:space="preserve">: </w:t>
      </w:r>
      <w:r w:rsidRPr="00257B66">
        <w:t xml:space="preserve">Costs for </w:t>
      </w:r>
      <w:r>
        <w:t>a laser system used for JCA or small debris removal.</w:t>
      </w:r>
    </w:p>
    <w:tbl>
      <w:tblPr>
        <w:tblStyle w:val="PlainTable5"/>
        <w:tblW w:w="0" w:type="auto"/>
        <w:tblLook w:val="04A0" w:firstRow="1" w:lastRow="0" w:firstColumn="1" w:lastColumn="0" w:noHBand="0" w:noVBand="1"/>
      </w:tblPr>
      <w:tblGrid>
        <w:gridCol w:w="3800"/>
        <w:gridCol w:w="1320"/>
        <w:gridCol w:w="1320"/>
        <w:gridCol w:w="1320"/>
        <w:gridCol w:w="1320"/>
      </w:tblGrid>
      <w:tr w:rsidR="00405ACC" w:rsidRPr="00405ACC" w14:paraId="74F8F9D2" w14:textId="77777777" w:rsidTr="00405ACC">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3800" w:type="dxa"/>
            <w:noWrap/>
            <w:hideMark/>
          </w:tcPr>
          <w:p w14:paraId="166AEE09" w14:textId="77777777" w:rsidR="00405ACC" w:rsidRPr="00061D7B" w:rsidRDefault="00405ACC" w:rsidP="001527D0">
            <w:pPr>
              <w:spacing w:before="192"/>
              <w:jc w:val="center"/>
              <w:rPr>
                <w:b/>
                <w:bCs/>
                <w:i w:val="0"/>
                <w:iCs w:val="0"/>
              </w:rPr>
            </w:pPr>
            <w:r w:rsidRPr="00061D7B">
              <w:rPr>
                <w:b/>
                <w:bCs/>
                <w:i w:val="0"/>
                <w:iCs w:val="0"/>
              </w:rPr>
              <w:t>Line item</w:t>
            </w:r>
          </w:p>
        </w:tc>
        <w:tc>
          <w:tcPr>
            <w:tcW w:w="1320" w:type="dxa"/>
            <w:noWrap/>
            <w:hideMark/>
          </w:tcPr>
          <w:p w14:paraId="1F3A805A" w14:textId="77777777" w:rsidR="00405ACC" w:rsidRPr="00061D7B" w:rsidRDefault="00405ACC" w:rsidP="001527D0">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Element</w:t>
            </w:r>
          </w:p>
        </w:tc>
        <w:tc>
          <w:tcPr>
            <w:tcW w:w="1320" w:type="dxa"/>
            <w:noWrap/>
            <w:hideMark/>
          </w:tcPr>
          <w:p w14:paraId="225AAF33" w14:textId="77777777" w:rsidR="00405ACC" w:rsidRPr="00061D7B" w:rsidRDefault="00405ACC" w:rsidP="001527D0">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Subtotal</w:t>
            </w:r>
          </w:p>
        </w:tc>
        <w:tc>
          <w:tcPr>
            <w:tcW w:w="1320" w:type="dxa"/>
            <w:noWrap/>
            <w:hideMark/>
          </w:tcPr>
          <w:p w14:paraId="0BFFFB57" w14:textId="77777777" w:rsidR="00405ACC" w:rsidRPr="00061D7B" w:rsidRDefault="00405ACC" w:rsidP="001527D0">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Total</w:t>
            </w:r>
          </w:p>
        </w:tc>
        <w:tc>
          <w:tcPr>
            <w:tcW w:w="1320" w:type="dxa"/>
            <w:noWrap/>
            <w:hideMark/>
          </w:tcPr>
          <w:p w14:paraId="7659FAD7" w14:textId="77777777" w:rsidR="00405ACC" w:rsidRPr="00061D7B" w:rsidRDefault="00405ACC" w:rsidP="001527D0">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Unit</w:t>
            </w:r>
          </w:p>
        </w:tc>
      </w:tr>
      <w:tr w:rsidR="00405ACC" w:rsidRPr="00405ACC" w14:paraId="4A79FE8B" w14:textId="77777777" w:rsidTr="003217D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0E94E6E7" w14:textId="77777777" w:rsidR="00405ACC" w:rsidRPr="001527D0" w:rsidRDefault="00405ACC" w:rsidP="00061D7B">
            <w:pPr>
              <w:jc w:val="center"/>
            </w:pPr>
            <w:r w:rsidRPr="001527D0">
              <w:t>Facility cost</w:t>
            </w:r>
          </w:p>
        </w:tc>
        <w:tc>
          <w:tcPr>
            <w:tcW w:w="1320" w:type="dxa"/>
            <w:noWrap/>
            <w:hideMark/>
          </w:tcPr>
          <w:p w14:paraId="016AD7E8"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r w:rsidRPr="00405ACC">
              <w:t>218</w:t>
            </w:r>
          </w:p>
        </w:tc>
        <w:tc>
          <w:tcPr>
            <w:tcW w:w="1320" w:type="dxa"/>
            <w:noWrap/>
            <w:hideMark/>
          </w:tcPr>
          <w:p w14:paraId="7AE9844B"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p>
        </w:tc>
        <w:tc>
          <w:tcPr>
            <w:tcW w:w="1320" w:type="dxa"/>
            <w:noWrap/>
            <w:hideMark/>
          </w:tcPr>
          <w:p w14:paraId="6B85271B"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p>
        </w:tc>
        <w:tc>
          <w:tcPr>
            <w:tcW w:w="1320" w:type="dxa"/>
            <w:noWrap/>
            <w:hideMark/>
          </w:tcPr>
          <w:p w14:paraId="6E3A37C2"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r w:rsidRPr="00405ACC">
              <w:t>M$</w:t>
            </w:r>
          </w:p>
        </w:tc>
      </w:tr>
      <w:tr w:rsidR="00405ACC" w:rsidRPr="00405ACC" w14:paraId="0DBADA3F" w14:textId="77777777" w:rsidTr="003217D6">
        <w:trPr>
          <w:trHeight w:val="32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4526F815" w14:textId="77777777" w:rsidR="00405ACC" w:rsidRPr="001527D0" w:rsidRDefault="00405ACC" w:rsidP="00061D7B">
            <w:pPr>
              <w:jc w:val="center"/>
            </w:pPr>
            <w:r w:rsidRPr="001527D0">
              <w:t>Facility lifetime</w:t>
            </w:r>
          </w:p>
        </w:tc>
        <w:tc>
          <w:tcPr>
            <w:tcW w:w="1320" w:type="dxa"/>
            <w:tcBorders>
              <w:bottom w:val="single" w:sz="4" w:space="0" w:color="auto"/>
            </w:tcBorders>
            <w:noWrap/>
            <w:hideMark/>
          </w:tcPr>
          <w:p w14:paraId="03081274"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pPr>
            <w:r w:rsidRPr="00405ACC">
              <w:t>20</w:t>
            </w:r>
          </w:p>
        </w:tc>
        <w:tc>
          <w:tcPr>
            <w:tcW w:w="1320" w:type="dxa"/>
            <w:tcBorders>
              <w:bottom w:val="single" w:sz="4" w:space="0" w:color="auto"/>
            </w:tcBorders>
            <w:noWrap/>
            <w:hideMark/>
          </w:tcPr>
          <w:p w14:paraId="67B890EE"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pPr>
          </w:p>
        </w:tc>
        <w:tc>
          <w:tcPr>
            <w:tcW w:w="1320" w:type="dxa"/>
            <w:noWrap/>
            <w:hideMark/>
          </w:tcPr>
          <w:p w14:paraId="2E9CDB6C"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pPr>
          </w:p>
        </w:tc>
        <w:tc>
          <w:tcPr>
            <w:tcW w:w="1320" w:type="dxa"/>
            <w:noWrap/>
            <w:hideMark/>
          </w:tcPr>
          <w:p w14:paraId="529A8A5C"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pPr>
            <w:r w:rsidRPr="00405ACC">
              <w:t>years</w:t>
            </w:r>
          </w:p>
        </w:tc>
      </w:tr>
      <w:tr w:rsidR="00405ACC" w:rsidRPr="00405ACC" w14:paraId="7CB45789" w14:textId="77777777" w:rsidTr="003217D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12C72B60" w14:textId="7D36C1DB" w:rsidR="00405ACC" w:rsidRPr="001527D0" w:rsidRDefault="003217D6" w:rsidP="00061D7B">
            <w:pPr>
              <w:jc w:val="center"/>
              <w:rPr>
                <w:i w:val="0"/>
                <w:iCs w:val="0"/>
              </w:rPr>
            </w:pPr>
            <w:r>
              <w:rPr>
                <w:i w:val="0"/>
                <w:iCs w:val="0"/>
              </w:rPr>
              <w:t>F</w:t>
            </w:r>
            <w:r w:rsidR="000671BB">
              <w:rPr>
                <w:i w:val="0"/>
                <w:iCs w:val="0"/>
              </w:rPr>
              <w:t>acility replacement cost</w:t>
            </w:r>
          </w:p>
        </w:tc>
        <w:tc>
          <w:tcPr>
            <w:tcW w:w="1320" w:type="dxa"/>
            <w:tcBorders>
              <w:top w:val="single" w:sz="4" w:space="0" w:color="auto"/>
              <w:bottom w:val="single" w:sz="4" w:space="0" w:color="auto"/>
            </w:tcBorders>
            <w:noWrap/>
            <w:hideMark/>
          </w:tcPr>
          <w:p w14:paraId="7DD7C9F4"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p>
        </w:tc>
        <w:tc>
          <w:tcPr>
            <w:tcW w:w="1320" w:type="dxa"/>
            <w:tcBorders>
              <w:top w:val="single" w:sz="4" w:space="0" w:color="auto"/>
              <w:bottom w:val="single" w:sz="4" w:space="0" w:color="auto"/>
            </w:tcBorders>
            <w:noWrap/>
            <w:hideMark/>
          </w:tcPr>
          <w:p w14:paraId="5A6B8BCD"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r w:rsidRPr="00405ACC">
              <w:t>11</w:t>
            </w:r>
          </w:p>
        </w:tc>
        <w:tc>
          <w:tcPr>
            <w:tcW w:w="1320" w:type="dxa"/>
            <w:tcBorders>
              <w:bottom w:val="single" w:sz="4" w:space="0" w:color="auto"/>
            </w:tcBorders>
            <w:noWrap/>
            <w:hideMark/>
          </w:tcPr>
          <w:p w14:paraId="6ADF228B"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p>
        </w:tc>
        <w:tc>
          <w:tcPr>
            <w:tcW w:w="1320" w:type="dxa"/>
            <w:noWrap/>
            <w:hideMark/>
          </w:tcPr>
          <w:p w14:paraId="0D3D1DFE" w14:textId="77777777" w:rsidR="00405ACC" w:rsidRPr="00405ACC" w:rsidRDefault="00405ACC" w:rsidP="001527D0">
            <w:pPr>
              <w:jc w:val="center"/>
              <w:cnfStyle w:val="000000100000" w:firstRow="0" w:lastRow="0" w:firstColumn="0" w:lastColumn="0" w:oddVBand="0" w:evenVBand="0" w:oddHBand="1" w:evenHBand="0" w:firstRowFirstColumn="0" w:firstRowLastColumn="0" w:lastRowFirstColumn="0" w:lastRowLastColumn="0"/>
            </w:pPr>
            <w:r w:rsidRPr="00405ACC">
              <w:t>M$/year</w:t>
            </w:r>
          </w:p>
        </w:tc>
      </w:tr>
      <w:tr w:rsidR="00405ACC" w:rsidRPr="00405ACC" w14:paraId="73369D3C" w14:textId="77777777" w:rsidTr="003217D6">
        <w:trPr>
          <w:trHeight w:val="320"/>
        </w:trPr>
        <w:tc>
          <w:tcPr>
            <w:cnfStyle w:val="001000000000" w:firstRow="0" w:lastRow="0" w:firstColumn="1" w:lastColumn="0" w:oddVBand="0" w:evenVBand="0" w:oddHBand="0" w:evenHBand="0" w:firstRowFirstColumn="0" w:firstRowLastColumn="0" w:lastRowFirstColumn="0" w:lastRowLastColumn="0"/>
            <w:tcW w:w="3800" w:type="dxa"/>
            <w:tcBorders>
              <w:bottom w:val="single" w:sz="4" w:space="0" w:color="auto"/>
            </w:tcBorders>
            <w:noWrap/>
            <w:hideMark/>
          </w:tcPr>
          <w:p w14:paraId="2D8F20CD" w14:textId="4B712370" w:rsidR="00405ACC" w:rsidRPr="001527D0" w:rsidRDefault="00405ACC" w:rsidP="00061D7B">
            <w:pPr>
              <w:jc w:val="center"/>
              <w:rPr>
                <w:b/>
                <w:bCs/>
                <w:i w:val="0"/>
                <w:iCs w:val="0"/>
              </w:rPr>
            </w:pPr>
            <w:r w:rsidRPr="001527D0">
              <w:rPr>
                <w:b/>
                <w:bCs/>
                <w:i w:val="0"/>
                <w:iCs w:val="0"/>
              </w:rPr>
              <w:t>Running cost</w:t>
            </w:r>
          </w:p>
        </w:tc>
        <w:tc>
          <w:tcPr>
            <w:tcW w:w="1320" w:type="dxa"/>
            <w:tcBorders>
              <w:top w:val="single" w:sz="4" w:space="0" w:color="auto"/>
              <w:bottom w:val="single" w:sz="4" w:space="0" w:color="auto"/>
            </w:tcBorders>
            <w:noWrap/>
            <w:hideMark/>
          </w:tcPr>
          <w:p w14:paraId="66EA1FE1"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rPr>
                <w:b/>
                <w:bCs/>
              </w:rPr>
            </w:pPr>
          </w:p>
        </w:tc>
        <w:tc>
          <w:tcPr>
            <w:tcW w:w="1320" w:type="dxa"/>
            <w:tcBorders>
              <w:top w:val="single" w:sz="4" w:space="0" w:color="auto"/>
              <w:bottom w:val="single" w:sz="4" w:space="0" w:color="auto"/>
            </w:tcBorders>
            <w:noWrap/>
            <w:hideMark/>
          </w:tcPr>
          <w:p w14:paraId="3ED5D88D"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pPr>
          </w:p>
        </w:tc>
        <w:tc>
          <w:tcPr>
            <w:tcW w:w="1320" w:type="dxa"/>
            <w:tcBorders>
              <w:top w:val="single" w:sz="4" w:space="0" w:color="auto"/>
              <w:bottom w:val="single" w:sz="4" w:space="0" w:color="auto"/>
            </w:tcBorders>
            <w:noWrap/>
            <w:hideMark/>
          </w:tcPr>
          <w:p w14:paraId="2CE15C96"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pPr>
            <w:r w:rsidRPr="00405ACC">
              <w:t>11</w:t>
            </w:r>
          </w:p>
        </w:tc>
        <w:tc>
          <w:tcPr>
            <w:tcW w:w="1320" w:type="dxa"/>
            <w:tcBorders>
              <w:bottom w:val="single" w:sz="4" w:space="0" w:color="auto"/>
            </w:tcBorders>
            <w:noWrap/>
            <w:hideMark/>
          </w:tcPr>
          <w:p w14:paraId="5CA9A548" w14:textId="77777777" w:rsidR="00405ACC" w:rsidRPr="00405ACC" w:rsidRDefault="00405ACC" w:rsidP="001527D0">
            <w:pPr>
              <w:jc w:val="center"/>
              <w:cnfStyle w:val="000000000000" w:firstRow="0" w:lastRow="0" w:firstColumn="0" w:lastColumn="0" w:oddVBand="0" w:evenVBand="0" w:oddHBand="0" w:evenHBand="0" w:firstRowFirstColumn="0" w:firstRowLastColumn="0" w:lastRowFirstColumn="0" w:lastRowLastColumn="0"/>
            </w:pPr>
            <w:r w:rsidRPr="00405ACC">
              <w:t>M$/year</w:t>
            </w:r>
          </w:p>
        </w:tc>
      </w:tr>
      <w:tr w:rsidR="00DC0155" w:rsidRPr="00405ACC" w14:paraId="449C5623" w14:textId="77777777" w:rsidTr="00DC015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00" w:type="dxa"/>
            <w:tcBorders>
              <w:top w:val="single" w:sz="4" w:space="0" w:color="auto"/>
            </w:tcBorders>
            <w:noWrap/>
            <w:hideMark/>
          </w:tcPr>
          <w:p w14:paraId="113AFE16" w14:textId="77777777" w:rsidR="00DC0155" w:rsidRPr="001527D0" w:rsidRDefault="00DC0155" w:rsidP="00061D7B">
            <w:pPr>
              <w:jc w:val="center"/>
              <w:rPr>
                <w:i w:val="0"/>
                <w:iCs w:val="0"/>
              </w:rPr>
            </w:pPr>
            <w:r w:rsidRPr="001527D0">
              <w:rPr>
                <w:i w:val="0"/>
                <w:iCs w:val="0"/>
              </w:rPr>
              <w:t>NRE</w:t>
            </w:r>
          </w:p>
        </w:tc>
        <w:tc>
          <w:tcPr>
            <w:tcW w:w="1320" w:type="dxa"/>
            <w:tcBorders>
              <w:top w:val="single" w:sz="4" w:space="0" w:color="auto"/>
            </w:tcBorders>
            <w:noWrap/>
          </w:tcPr>
          <w:p w14:paraId="1F324C10" w14:textId="3493F5D7"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pPr>
          </w:p>
        </w:tc>
        <w:tc>
          <w:tcPr>
            <w:tcW w:w="1320" w:type="dxa"/>
            <w:tcBorders>
              <w:top w:val="single" w:sz="4" w:space="0" w:color="auto"/>
            </w:tcBorders>
            <w:noWrap/>
            <w:hideMark/>
          </w:tcPr>
          <w:p w14:paraId="679CD2E2" w14:textId="03EE2E8F"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pPr>
            <w:r w:rsidRPr="00405ACC">
              <w:t>436</w:t>
            </w:r>
          </w:p>
        </w:tc>
        <w:tc>
          <w:tcPr>
            <w:tcW w:w="1320" w:type="dxa"/>
            <w:tcBorders>
              <w:top w:val="single" w:sz="4" w:space="0" w:color="auto"/>
            </w:tcBorders>
            <w:noWrap/>
            <w:hideMark/>
          </w:tcPr>
          <w:p w14:paraId="0653167A" w14:textId="77777777"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pPr>
          </w:p>
        </w:tc>
        <w:tc>
          <w:tcPr>
            <w:tcW w:w="1320" w:type="dxa"/>
            <w:tcBorders>
              <w:top w:val="single" w:sz="4" w:space="0" w:color="auto"/>
            </w:tcBorders>
            <w:noWrap/>
            <w:hideMark/>
          </w:tcPr>
          <w:p w14:paraId="3C91E8CA" w14:textId="77777777"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pPr>
            <w:r w:rsidRPr="00405ACC">
              <w:t>M$</w:t>
            </w:r>
          </w:p>
        </w:tc>
      </w:tr>
      <w:tr w:rsidR="00DC0155" w:rsidRPr="00405ACC" w14:paraId="61194998" w14:textId="77777777" w:rsidTr="00DC0155">
        <w:trPr>
          <w:trHeight w:val="32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3CA164DE" w14:textId="0E048FE2" w:rsidR="00DC0155" w:rsidRPr="001527D0" w:rsidRDefault="00DC0155" w:rsidP="00061D7B">
            <w:pPr>
              <w:jc w:val="center"/>
              <w:rPr>
                <w:i w:val="0"/>
                <w:iCs w:val="0"/>
              </w:rPr>
            </w:pPr>
            <w:r w:rsidRPr="001527D0">
              <w:rPr>
                <w:i w:val="0"/>
                <w:iCs w:val="0"/>
              </w:rPr>
              <w:t xml:space="preserve">First operational </w:t>
            </w:r>
            <w:r w:rsidR="00AD3C08">
              <w:rPr>
                <w:i w:val="0"/>
                <w:iCs w:val="0"/>
              </w:rPr>
              <w:t>system</w:t>
            </w:r>
          </w:p>
        </w:tc>
        <w:tc>
          <w:tcPr>
            <w:tcW w:w="1320" w:type="dxa"/>
            <w:tcBorders>
              <w:bottom w:val="single" w:sz="4" w:space="0" w:color="auto"/>
            </w:tcBorders>
            <w:noWrap/>
          </w:tcPr>
          <w:p w14:paraId="16A75E8F" w14:textId="2B4B01B6" w:rsidR="00DC0155" w:rsidRPr="00405ACC" w:rsidRDefault="00DC0155" w:rsidP="00DC0155">
            <w:pPr>
              <w:jc w:val="center"/>
              <w:cnfStyle w:val="000000000000" w:firstRow="0" w:lastRow="0" w:firstColumn="0" w:lastColumn="0" w:oddVBand="0" w:evenVBand="0" w:oddHBand="0" w:evenHBand="0" w:firstRowFirstColumn="0" w:firstRowLastColumn="0" w:lastRowFirstColumn="0" w:lastRowLastColumn="0"/>
            </w:pPr>
          </w:p>
        </w:tc>
        <w:tc>
          <w:tcPr>
            <w:tcW w:w="1320" w:type="dxa"/>
            <w:tcBorders>
              <w:bottom w:val="single" w:sz="4" w:space="0" w:color="auto"/>
            </w:tcBorders>
            <w:noWrap/>
            <w:hideMark/>
          </w:tcPr>
          <w:p w14:paraId="2DE3597C" w14:textId="637CE450" w:rsidR="00DC0155" w:rsidRPr="00405ACC" w:rsidRDefault="00DC0155" w:rsidP="00DC0155">
            <w:pPr>
              <w:jc w:val="center"/>
              <w:cnfStyle w:val="000000000000" w:firstRow="0" w:lastRow="0" w:firstColumn="0" w:lastColumn="0" w:oddVBand="0" w:evenVBand="0" w:oddHBand="0" w:evenHBand="0" w:firstRowFirstColumn="0" w:firstRowLastColumn="0" w:lastRowFirstColumn="0" w:lastRowLastColumn="0"/>
            </w:pPr>
            <w:r w:rsidRPr="00405ACC">
              <w:t>218</w:t>
            </w:r>
          </w:p>
        </w:tc>
        <w:tc>
          <w:tcPr>
            <w:tcW w:w="1320" w:type="dxa"/>
            <w:tcBorders>
              <w:bottom w:val="single" w:sz="4" w:space="0" w:color="auto"/>
            </w:tcBorders>
            <w:noWrap/>
            <w:hideMark/>
          </w:tcPr>
          <w:p w14:paraId="05ECB31B" w14:textId="77777777" w:rsidR="00DC0155" w:rsidRPr="00405ACC" w:rsidRDefault="00DC0155" w:rsidP="00DC0155">
            <w:pPr>
              <w:cnfStyle w:val="000000000000" w:firstRow="0" w:lastRow="0" w:firstColumn="0" w:lastColumn="0" w:oddVBand="0" w:evenVBand="0" w:oddHBand="0" w:evenHBand="0" w:firstRowFirstColumn="0" w:firstRowLastColumn="0" w:lastRowFirstColumn="0" w:lastRowLastColumn="0"/>
            </w:pPr>
          </w:p>
        </w:tc>
        <w:tc>
          <w:tcPr>
            <w:tcW w:w="1320" w:type="dxa"/>
            <w:noWrap/>
            <w:hideMark/>
          </w:tcPr>
          <w:p w14:paraId="649FCA1B" w14:textId="77777777" w:rsidR="00DC0155" w:rsidRPr="00405ACC" w:rsidRDefault="00DC0155" w:rsidP="00DC0155">
            <w:pPr>
              <w:jc w:val="center"/>
              <w:cnfStyle w:val="000000000000" w:firstRow="0" w:lastRow="0" w:firstColumn="0" w:lastColumn="0" w:oddVBand="0" w:evenVBand="0" w:oddHBand="0" w:evenHBand="0" w:firstRowFirstColumn="0" w:firstRowLastColumn="0" w:lastRowFirstColumn="0" w:lastRowLastColumn="0"/>
            </w:pPr>
            <w:r w:rsidRPr="00405ACC">
              <w:t>M$</w:t>
            </w:r>
          </w:p>
        </w:tc>
      </w:tr>
      <w:tr w:rsidR="00DC0155" w:rsidRPr="00405ACC" w14:paraId="32DB6B79" w14:textId="77777777" w:rsidTr="00DC015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00" w:type="dxa"/>
            <w:tcBorders>
              <w:bottom w:val="single" w:sz="4" w:space="0" w:color="auto"/>
            </w:tcBorders>
            <w:noWrap/>
            <w:hideMark/>
          </w:tcPr>
          <w:p w14:paraId="2229399E" w14:textId="38913941" w:rsidR="00DC0155" w:rsidRPr="001527D0" w:rsidRDefault="00DC0155" w:rsidP="00061D7B">
            <w:pPr>
              <w:jc w:val="center"/>
              <w:rPr>
                <w:b/>
                <w:bCs/>
                <w:i w:val="0"/>
                <w:iCs w:val="0"/>
              </w:rPr>
            </w:pPr>
            <w:r w:rsidRPr="001527D0">
              <w:rPr>
                <w:b/>
                <w:bCs/>
                <w:i w:val="0"/>
                <w:iCs w:val="0"/>
              </w:rPr>
              <w:t>Up-front cost</w:t>
            </w:r>
          </w:p>
        </w:tc>
        <w:tc>
          <w:tcPr>
            <w:tcW w:w="1320" w:type="dxa"/>
            <w:tcBorders>
              <w:top w:val="single" w:sz="4" w:space="0" w:color="auto"/>
              <w:bottom w:val="single" w:sz="4" w:space="0" w:color="auto"/>
            </w:tcBorders>
            <w:noWrap/>
            <w:hideMark/>
          </w:tcPr>
          <w:p w14:paraId="22941D5E" w14:textId="77777777"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rPr>
                <w:b/>
                <w:bCs/>
              </w:rPr>
            </w:pPr>
          </w:p>
        </w:tc>
        <w:tc>
          <w:tcPr>
            <w:tcW w:w="1320" w:type="dxa"/>
            <w:tcBorders>
              <w:top w:val="single" w:sz="4" w:space="0" w:color="auto"/>
              <w:bottom w:val="single" w:sz="4" w:space="0" w:color="auto"/>
            </w:tcBorders>
            <w:noWrap/>
            <w:hideMark/>
          </w:tcPr>
          <w:p w14:paraId="2737771E" w14:textId="77777777"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pPr>
          </w:p>
        </w:tc>
        <w:tc>
          <w:tcPr>
            <w:tcW w:w="1320" w:type="dxa"/>
            <w:tcBorders>
              <w:top w:val="single" w:sz="4" w:space="0" w:color="auto"/>
              <w:bottom w:val="single" w:sz="4" w:space="0" w:color="auto"/>
            </w:tcBorders>
            <w:noWrap/>
            <w:hideMark/>
          </w:tcPr>
          <w:p w14:paraId="15E176D1" w14:textId="77777777"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pPr>
            <w:r w:rsidRPr="00405ACC">
              <w:t>654</w:t>
            </w:r>
          </w:p>
        </w:tc>
        <w:tc>
          <w:tcPr>
            <w:tcW w:w="1320" w:type="dxa"/>
            <w:tcBorders>
              <w:bottom w:val="single" w:sz="4" w:space="0" w:color="auto"/>
            </w:tcBorders>
            <w:noWrap/>
            <w:hideMark/>
          </w:tcPr>
          <w:p w14:paraId="0597FD41" w14:textId="77777777" w:rsidR="00DC0155" w:rsidRPr="00405ACC" w:rsidRDefault="00DC0155" w:rsidP="00DC0155">
            <w:pPr>
              <w:jc w:val="center"/>
              <w:cnfStyle w:val="000000100000" w:firstRow="0" w:lastRow="0" w:firstColumn="0" w:lastColumn="0" w:oddVBand="0" w:evenVBand="0" w:oddHBand="1" w:evenHBand="0" w:firstRowFirstColumn="0" w:firstRowLastColumn="0" w:lastRowFirstColumn="0" w:lastRowLastColumn="0"/>
            </w:pPr>
            <w:r w:rsidRPr="00405ACC">
              <w:t>M$</w:t>
            </w:r>
          </w:p>
        </w:tc>
      </w:tr>
    </w:tbl>
    <w:p w14:paraId="4A015A1A" w14:textId="77777777" w:rsidR="00A91EB3" w:rsidRPr="00C57275" w:rsidRDefault="00A91EB3" w:rsidP="00C57275"/>
    <w:p w14:paraId="23C183B3" w14:textId="1DD01F15" w:rsidR="00B7338F" w:rsidRDefault="00E440E3" w:rsidP="00293F96">
      <w:pPr>
        <w:pStyle w:val="Heading2"/>
      </w:pPr>
      <w:bookmarkStart w:id="33" w:name="_Toc192166321"/>
      <w:r>
        <w:lastRenderedPageBreak/>
        <w:t>Tracking actions</w:t>
      </w:r>
      <w:bookmarkEnd w:id="33"/>
    </w:p>
    <w:p w14:paraId="72A44986" w14:textId="77777777" w:rsidR="004944E8" w:rsidRDefault="005B0F54" w:rsidP="00E440E3">
      <w:r>
        <w:t>The Phase 2 report provides the basis of our estimates of</w:t>
      </w:r>
      <w:r w:rsidR="00B134E4">
        <w:t xml:space="preserve"> the cost of</w:t>
      </w:r>
      <w:r>
        <w:t xml:space="preserve"> tracking actions. We focus on two systems that are used to define two actions</w:t>
      </w:r>
      <w:r w:rsidR="0022167D">
        <w:t xml:space="preserve"> (“Laser ranging” and “Laser ranging and 2 new Space Fences”)</w:t>
      </w:r>
      <w:r>
        <w:t xml:space="preserve">. </w:t>
      </w:r>
    </w:p>
    <w:p w14:paraId="6ED96893" w14:textId="1F370CA2" w:rsidR="004167F1" w:rsidRDefault="005B0F54" w:rsidP="00581647">
      <w:pPr>
        <w:ind w:firstLine="360"/>
      </w:pPr>
      <w:r>
        <w:t xml:space="preserve">The first system is a </w:t>
      </w:r>
      <w:r w:rsidR="00EC672A">
        <w:t>global network</w:t>
      </w:r>
      <w:r>
        <w:t xml:space="preserve"> of</w:t>
      </w:r>
      <w:r w:rsidR="00EC672A">
        <w:t xml:space="preserve"> 5</w:t>
      </w:r>
      <w:r>
        <w:t xml:space="preserve"> </w:t>
      </w:r>
      <w:r w:rsidR="00C51E18">
        <w:t>ground-based satellite laser ranging (SLR) stations</w:t>
      </w:r>
      <w:r w:rsidR="00AD0325">
        <w:t xml:space="preserve"> (“Laser ranging”)</w:t>
      </w:r>
      <w:r w:rsidR="00C51E18">
        <w:t xml:space="preserve"> that would be used </w:t>
      </w:r>
      <w:r w:rsidR="00E26084">
        <w:t xml:space="preserve">to </w:t>
      </w:r>
      <w:r w:rsidR="003F741E">
        <w:t xml:space="preserve">provide on-demand laser ranging of objects larger than 10 cm. </w:t>
      </w:r>
      <w:r w:rsidR="0022167D">
        <w:t xml:space="preserve">This is assumed to reduce the </w:t>
      </w:r>
      <w:r w:rsidR="00224B64">
        <w:t xml:space="preserve">rate of false positive conjunction alerts generated by 100x. </w:t>
      </w:r>
      <w:r w:rsidR="003F741E">
        <w:t xml:space="preserve">The </w:t>
      </w:r>
      <w:r w:rsidR="00EC672A">
        <w:t xml:space="preserve">second system is a global network </w:t>
      </w:r>
      <w:r w:rsidR="00015E9C">
        <w:t>of 2 ground-based radars</w:t>
      </w:r>
      <w:r w:rsidR="00AD0325">
        <w:t xml:space="preserve"> (“2 new Space Fences”)</w:t>
      </w:r>
      <w:r w:rsidR="00015E9C">
        <w:t xml:space="preserve"> that would be used to </w:t>
      </w:r>
      <w:r w:rsidR="00882434">
        <w:t xml:space="preserve">track and maintain custody of centimeter-size debris and </w:t>
      </w:r>
      <w:r w:rsidR="00882434" w:rsidRPr="005D073D">
        <w:t>support conjunction assessments involving th</w:t>
      </w:r>
      <w:r w:rsidR="002E2C34" w:rsidRPr="005D073D">
        <w:t xml:space="preserve">em. Further details on the CONOPS and assumed efficacies of both types of systems are described in </w:t>
      </w:r>
      <w:r w:rsidR="00D3375D" w:rsidRPr="005D073D">
        <w:t xml:space="preserve">Appendix </w:t>
      </w:r>
      <w:r w:rsidR="00B478DA" w:rsidRPr="005D073D">
        <w:t>D</w:t>
      </w:r>
      <w:r w:rsidR="00D3375D" w:rsidRPr="005D073D">
        <w:t xml:space="preserve"> of the Phase 2 report </w:t>
      </w:r>
      <w:sdt>
        <w:sdtPr>
          <w:id w:val="1627813146"/>
          <w:citation/>
        </w:sdtPr>
        <w:sdtEndPr/>
        <w:sdtContent>
          <w:r w:rsidR="00D3375D" w:rsidRPr="005D073D">
            <w:fldChar w:fldCharType="begin"/>
          </w:r>
          <w:r w:rsidR="00D3375D" w:rsidRPr="005D073D">
            <w:instrText xml:space="preserve"> CITATION Loc24 \l 1033 </w:instrText>
          </w:r>
          <w:r w:rsidR="00D3375D" w:rsidRPr="005D073D">
            <w:fldChar w:fldCharType="separate"/>
          </w:r>
          <w:r w:rsidR="00A466B0">
            <w:rPr>
              <w:noProof/>
            </w:rPr>
            <w:t>(Locke, et al. 2024)</w:t>
          </w:r>
          <w:r w:rsidR="00D3375D" w:rsidRPr="005D073D">
            <w:fldChar w:fldCharType="end"/>
          </w:r>
        </w:sdtContent>
      </w:sdt>
      <w:r w:rsidR="00D3375D" w:rsidRPr="005D073D">
        <w:t>.</w:t>
      </w:r>
      <w:r w:rsidR="004167F1" w:rsidRPr="005D073D">
        <w:t xml:space="preserve"> </w:t>
      </w:r>
      <w:r w:rsidR="0022167D" w:rsidRPr="005D073D">
        <w:t>It is worth mentioning that when we combine the two systems</w:t>
      </w:r>
      <w:r w:rsidR="00224B64" w:rsidRPr="005D073D">
        <w:t xml:space="preserve"> in the “Laser ranging and 2 new Space Fences” action</w:t>
      </w:r>
      <w:r w:rsidR="0022167D" w:rsidRPr="005D073D">
        <w:t xml:space="preserve">, </w:t>
      </w:r>
      <w:r w:rsidR="00256715" w:rsidRPr="005D073D">
        <w:t xml:space="preserve">the 100x reduction in false positive conjunction alert rate is applied to </w:t>
      </w:r>
      <w:r w:rsidR="0022167D" w:rsidRPr="005D073D">
        <w:t xml:space="preserve">all </w:t>
      </w:r>
      <w:r w:rsidR="00224B64" w:rsidRPr="005D073D">
        <w:t xml:space="preserve">debris larger than 1 </w:t>
      </w:r>
      <w:r w:rsidR="00256715" w:rsidRPr="005D073D">
        <w:t>cm.</w:t>
      </w:r>
    </w:p>
    <w:p w14:paraId="0569768A" w14:textId="35EEE6BA" w:rsidR="004F3DAD" w:rsidRDefault="00AD0325" w:rsidP="00581647">
      <w:pPr>
        <w:ind w:firstLine="360"/>
      </w:pPr>
      <w:r>
        <w:t xml:space="preserve">Table </w:t>
      </w:r>
      <w:r w:rsidR="00AD02FD">
        <w:t xml:space="preserve">12 </w:t>
      </w:r>
      <w:r>
        <w:t>describes the cost elements and estimates for the netw</w:t>
      </w:r>
      <w:r w:rsidR="004167F1">
        <w:t xml:space="preserve">ork of </w:t>
      </w:r>
      <w:r w:rsidR="00017727">
        <w:t>5 new SLR stations</w:t>
      </w:r>
      <w:r w:rsidR="004167F1">
        <w:t xml:space="preserve">, and Table </w:t>
      </w:r>
      <w:r w:rsidR="00AD02FD">
        <w:t xml:space="preserve">13 </w:t>
      </w:r>
      <w:r w:rsidR="004167F1">
        <w:t>describes the cost elements and estimates for the network of</w:t>
      </w:r>
      <w:r w:rsidR="00017727">
        <w:t xml:space="preserve"> 2 new radars</w:t>
      </w:r>
      <w:r w:rsidR="004167F1">
        <w:t>.</w:t>
      </w:r>
      <w:r w:rsidR="00741584">
        <w:t xml:space="preserve"> All costs are rounded up to the nearest million dollars.</w:t>
      </w:r>
    </w:p>
    <w:p w14:paraId="0F7C6205" w14:textId="77777777" w:rsidR="004F3DAD" w:rsidRPr="00B46497" w:rsidRDefault="004F3DAD" w:rsidP="00B46497">
      <w:pPr>
        <w:jc w:val="center"/>
        <w:rPr>
          <w:b/>
          <w:bCs/>
        </w:rPr>
      </w:pPr>
    </w:p>
    <w:p w14:paraId="5EBBC0D5" w14:textId="6BDF19CB" w:rsidR="00B46497" w:rsidRPr="00581647" w:rsidRDefault="00B46497" w:rsidP="00581647">
      <w:pPr>
        <w:rPr>
          <w:i/>
          <w:iCs/>
          <w:color w:val="0B3D91" w:themeColor="accent1"/>
          <w:sz w:val="18"/>
          <w:szCs w:val="18"/>
        </w:rPr>
      </w:pPr>
      <w:r w:rsidRPr="00581647">
        <w:rPr>
          <w:i/>
          <w:iCs/>
          <w:color w:val="0B3D91" w:themeColor="accent1"/>
          <w:sz w:val="18"/>
          <w:szCs w:val="18"/>
        </w:rPr>
        <w:t xml:space="preserve">Table </w:t>
      </w:r>
      <w:r w:rsidRPr="00581647">
        <w:rPr>
          <w:i/>
          <w:iCs/>
          <w:color w:val="0B3D91" w:themeColor="accent1"/>
          <w:sz w:val="18"/>
          <w:szCs w:val="18"/>
        </w:rPr>
        <w:fldChar w:fldCharType="begin"/>
      </w:r>
      <w:r w:rsidRPr="00581647">
        <w:rPr>
          <w:i/>
          <w:iCs/>
          <w:color w:val="0B3D91" w:themeColor="accent1"/>
          <w:sz w:val="18"/>
          <w:szCs w:val="18"/>
        </w:rPr>
        <w:instrText xml:space="preserve"> SEQ Table \* ARABIC </w:instrText>
      </w:r>
      <w:r w:rsidRPr="00581647">
        <w:rPr>
          <w:i/>
          <w:iCs/>
          <w:color w:val="0B3D91" w:themeColor="accent1"/>
          <w:sz w:val="18"/>
          <w:szCs w:val="18"/>
        </w:rPr>
        <w:fldChar w:fldCharType="separate"/>
      </w:r>
      <w:r w:rsidR="001F0D0C">
        <w:rPr>
          <w:i/>
          <w:iCs/>
          <w:noProof/>
          <w:color w:val="0B3D91" w:themeColor="accent1"/>
          <w:sz w:val="18"/>
          <w:szCs w:val="18"/>
        </w:rPr>
        <w:t>12</w:t>
      </w:r>
      <w:r w:rsidRPr="00581647">
        <w:rPr>
          <w:i/>
          <w:iCs/>
          <w:color w:val="0B3D91" w:themeColor="accent1"/>
          <w:sz w:val="18"/>
          <w:szCs w:val="18"/>
        </w:rPr>
        <w:fldChar w:fldCharType="end"/>
      </w:r>
      <w:r w:rsidRPr="00581647">
        <w:rPr>
          <w:i/>
          <w:iCs/>
          <w:color w:val="0B3D91" w:themeColor="accent1"/>
          <w:sz w:val="18"/>
          <w:szCs w:val="18"/>
        </w:rPr>
        <w:t xml:space="preserve">: Costs for a ground-based laser ranging </w:t>
      </w:r>
      <w:r w:rsidR="004F0F73" w:rsidRPr="00581647">
        <w:rPr>
          <w:i/>
          <w:iCs/>
          <w:color w:val="0B3D91" w:themeColor="accent1"/>
          <w:sz w:val="18"/>
          <w:szCs w:val="18"/>
        </w:rPr>
        <w:t>network</w:t>
      </w:r>
    </w:p>
    <w:tbl>
      <w:tblPr>
        <w:tblStyle w:val="PlainTable5"/>
        <w:tblW w:w="0" w:type="auto"/>
        <w:tblLook w:val="04A0" w:firstRow="1" w:lastRow="0" w:firstColumn="1" w:lastColumn="0" w:noHBand="0" w:noVBand="1"/>
      </w:tblPr>
      <w:tblGrid>
        <w:gridCol w:w="3600"/>
        <w:gridCol w:w="1429"/>
        <w:gridCol w:w="1097"/>
        <w:gridCol w:w="1078"/>
        <w:gridCol w:w="2156"/>
      </w:tblGrid>
      <w:tr w:rsidR="000549CE" w:rsidRPr="00E82E41" w14:paraId="62820C6B" w14:textId="77777777" w:rsidTr="001C3B1B">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3600" w:type="dxa"/>
            <w:noWrap/>
            <w:hideMark/>
          </w:tcPr>
          <w:p w14:paraId="4913F6C4" w14:textId="77777777" w:rsidR="00E82E41" w:rsidRPr="00061D7B" w:rsidRDefault="00E82E41" w:rsidP="000549CE">
            <w:pPr>
              <w:spacing w:before="192"/>
              <w:jc w:val="center"/>
              <w:rPr>
                <w:b/>
                <w:bCs/>
                <w:i w:val="0"/>
                <w:iCs w:val="0"/>
              </w:rPr>
            </w:pPr>
            <w:r w:rsidRPr="00061D7B">
              <w:rPr>
                <w:b/>
                <w:bCs/>
                <w:i w:val="0"/>
                <w:iCs w:val="0"/>
              </w:rPr>
              <w:t>Line item</w:t>
            </w:r>
          </w:p>
        </w:tc>
        <w:tc>
          <w:tcPr>
            <w:tcW w:w="1429" w:type="dxa"/>
            <w:noWrap/>
            <w:hideMark/>
          </w:tcPr>
          <w:p w14:paraId="1DEEA535" w14:textId="72EF4A61" w:rsidR="00E82E41" w:rsidRPr="00061D7B" w:rsidRDefault="00605CD1" w:rsidP="000549CE">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Element</w:t>
            </w:r>
          </w:p>
        </w:tc>
        <w:tc>
          <w:tcPr>
            <w:tcW w:w="1097" w:type="dxa"/>
            <w:noWrap/>
            <w:hideMark/>
          </w:tcPr>
          <w:p w14:paraId="67449A39" w14:textId="740ACAC7" w:rsidR="00E82E41" w:rsidRPr="00061D7B" w:rsidRDefault="00E82E41" w:rsidP="000549CE">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Subtotal</w:t>
            </w:r>
          </w:p>
        </w:tc>
        <w:tc>
          <w:tcPr>
            <w:tcW w:w="1078" w:type="dxa"/>
            <w:noWrap/>
            <w:hideMark/>
          </w:tcPr>
          <w:p w14:paraId="4DDD70D8" w14:textId="5D122489" w:rsidR="00E82E41" w:rsidRPr="00061D7B" w:rsidRDefault="00E82E41" w:rsidP="000549CE">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Total</w:t>
            </w:r>
          </w:p>
        </w:tc>
        <w:tc>
          <w:tcPr>
            <w:tcW w:w="2156" w:type="dxa"/>
            <w:noWrap/>
            <w:hideMark/>
          </w:tcPr>
          <w:p w14:paraId="433EFD23" w14:textId="77777777" w:rsidR="00E82E41" w:rsidRPr="00061D7B" w:rsidRDefault="00E82E41" w:rsidP="000549CE">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061D7B">
              <w:rPr>
                <w:b/>
                <w:bCs/>
                <w:i w:val="0"/>
                <w:iCs w:val="0"/>
              </w:rPr>
              <w:t>Unit</w:t>
            </w:r>
          </w:p>
        </w:tc>
      </w:tr>
      <w:tr w:rsidR="000549CE" w:rsidRPr="00E82E41" w14:paraId="194F6583"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234382" w14:textId="628DB81F" w:rsidR="00E82E41" w:rsidRPr="00E82E41" w:rsidRDefault="00E82E41" w:rsidP="003D28A5">
            <w:pPr>
              <w:jc w:val="center"/>
            </w:pPr>
            <w:r w:rsidRPr="00E82E41">
              <w:t>Station unit cost</w:t>
            </w:r>
          </w:p>
        </w:tc>
        <w:tc>
          <w:tcPr>
            <w:tcW w:w="1429" w:type="dxa"/>
            <w:noWrap/>
            <w:hideMark/>
          </w:tcPr>
          <w:p w14:paraId="0DE19584"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8</w:t>
            </w:r>
          </w:p>
        </w:tc>
        <w:tc>
          <w:tcPr>
            <w:tcW w:w="1097" w:type="dxa"/>
            <w:noWrap/>
            <w:hideMark/>
          </w:tcPr>
          <w:p w14:paraId="2231A0C7"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1078" w:type="dxa"/>
            <w:noWrap/>
            <w:hideMark/>
          </w:tcPr>
          <w:p w14:paraId="64F1B221"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2156" w:type="dxa"/>
            <w:noWrap/>
            <w:hideMark/>
          </w:tcPr>
          <w:p w14:paraId="274B92E7"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M$/station</w:t>
            </w:r>
          </w:p>
        </w:tc>
      </w:tr>
      <w:tr w:rsidR="00951B6F" w:rsidRPr="00E82E41" w14:paraId="7E3F59F5"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F611E8" w14:textId="77777777" w:rsidR="00E82E41" w:rsidRPr="00E82E41" w:rsidRDefault="00E82E41" w:rsidP="003D28A5">
            <w:pPr>
              <w:jc w:val="center"/>
            </w:pPr>
            <w:r w:rsidRPr="00E82E41">
              <w:t>Number of stations</w:t>
            </w:r>
          </w:p>
        </w:tc>
        <w:tc>
          <w:tcPr>
            <w:tcW w:w="1429" w:type="dxa"/>
            <w:noWrap/>
            <w:hideMark/>
          </w:tcPr>
          <w:p w14:paraId="1C19B76B"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r w:rsidRPr="00E82E41">
              <w:t>5</w:t>
            </w:r>
          </w:p>
        </w:tc>
        <w:tc>
          <w:tcPr>
            <w:tcW w:w="1097" w:type="dxa"/>
            <w:noWrap/>
            <w:hideMark/>
          </w:tcPr>
          <w:p w14:paraId="219E37F3"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p>
        </w:tc>
        <w:tc>
          <w:tcPr>
            <w:tcW w:w="1078" w:type="dxa"/>
            <w:noWrap/>
            <w:hideMark/>
          </w:tcPr>
          <w:p w14:paraId="4DD521F8"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p>
        </w:tc>
        <w:tc>
          <w:tcPr>
            <w:tcW w:w="2156" w:type="dxa"/>
            <w:noWrap/>
            <w:hideMark/>
          </w:tcPr>
          <w:p w14:paraId="048505E2" w14:textId="3AAD1312"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r w:rsidRPr="00E82E41">
              <w:t>stations/</w:t>
            </w:r>
            <w:r w:rsidR="004F0F73">
              <w:t>network</w:t>
            </w:r>
          </w:p>
        </w:tc>
      </w:tr>
      <w:tr w:rsidR="000549CE" w:rsidRPr="00E82E41" w14:paraId="634E6E4E"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6B084F" w14:textId="77777777" w:rsidR="00E82E41" w:rsidRPr="00E82E41" w:rsidRDefault="00E82E41" w:rsidP="003D28A5">
            <w:pPr>
              <w:jc w:val="center"/>
            </w:pPr>
            <w:r w:rsidRPr="00E82E41">
              <w:t>Lifetime</w:t>
            </w:r>
          </w:p>
        </w:tc>
        <w:tc>
          <w:tcPr>
            <w:tcW w:w="1429" w:type="dxa"/>
            <w:tcBorders>
              <w:bottom w:val="single" w:sz="4" w:space="0" w:color="auto"/>
            </w:tcBorders>
            <w:noWrap/>
            <w:hideMark/>
          </w:tcPr>
          <w:p w14:paraId="282AA5BA"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20</w:t>
            </w:r>
          </w:p>
        </w:tc>
        <w:tc>
          <w:tcPr>
            <w:tcW w:w="1097" w:type="dxa"/>
            <w:tcBorders>
              <w:bottom w:val="single" w:sz="4" w:space="0" w:color="auto"/>
            </w:tcBorders>
            <w:noWrap/>
            <w:hideMark/>
          </w:tcPr>
          <w:p w14:paraId="0724A10C"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1078" w:type="dxa"/>
            <w:noWrap/>
            <w:hideMark/>
          </w:tcPr>
          <w:p w14:paraId="2342FFFC"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2156" w:type="dxa"/>
            <w:noWrap/>
            <w:hideMark/>
          </w:tcPr>
          <w:p w14:paraId="5C6329FB"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years/station</w:t>
            </w:r>
          </w:p>
        </w:tc>
      </w:tr>
      <w:tr w:rsidR="00951B6F" w:rsidRPr="00E82E41" w14:paraId="70240A84"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EA844C" w14:textId="573773A5" w:rsidR="00E82E41" w:rsidRPr="000549CE" w:rsidRDefault="00E82E41" w:rsidP="003D28A5">
            <w:pPr>
              <w:jc w:val="center"/>
              <w:rPr>
                <w:i w:val="0"/>
                <w:iCs w:val="0"/>
              </w:rPr>
            </w:pPr>
            <w:r w:rsidRPr="000549CE">
              <w:rPr>
                <w:i w:val="0"/>
                <w:iCs w:val="0"/>
              </w:rPr>
              <w:t xml:space="preserve">Total </w:t>
            </w:r>
            <w:r w:rsidR="001C3B1B">
              <w:rPr>
                <w:i w:val="0"/>
                <w:iCs w:val="0"/>
              </w:rPr>
              <w:t>network</w:t>
            </w:r>
            <w:r w:rsidRPr="000549CE">
              <w:rPr>
                <w:i w:val="0"/>
                <w:iCs w:val="0"/>
              </w:rPr>
              <w:t xml:space="preserve"> replacement cost</w:t>
            </w:r>
          </w:p>
        </w:tc>
        <w:tc>
          <w:tcPr>
            <w:tcW w:w="1429" w:type="dxa"/>
            <w:tcBorders>
              <w:top w:val="single" w:sz="4" w:space="0" w:color="auto"/>
            </w:tcBorders>
            <w:noWrap/>
            <w:hideMark/>
          </w:tcPr>
          <w:p w14:paraId="09E228E9"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tcBorders>
            <w:noWrap/>
            <w:hideMark/>
          </w:tcPr>
          <w:p w14:paraId="44482931"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r w:rsidRPr="00E82E41">
              <w:t>40</w:t>
            </w:r>
          </w:p>
        </w:tc>
        <w:tc>
          <w:tcPr>
            <w:tcW w:w="1078" w:type="dxa"/>
            <w:noWrap/>
            <w:hideMark/>
          </w:tcPr>
          <w:p w14:paraId="1F611FA2"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p>
        </w:tc>
        <w:tc>
          <w:tcPr>
            <w:tcW w:w="2156" w:type="dxa"/>
            <w:noWrap/>
            <w:hideMark/>
          </w:tcPr>
          <w:p w14:paraId="6C0753BA" w14:textId="130C2E5F"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r w:rsidRPr="00E82E41">
              <w:t>M$/</w:t>
            </w:r>
            <w:r w:rsidR="004F0F73">
              <w:t xml:space="preserve"> network</w:t>
            </w:r>
          </w:p>
        </w:tc>
      </w:tr>
      <w:tr w:rsidR="000549CE" w:rsidRPr="00E82E41" w14:paraId="0ACB3395"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B46536" w14:textId="77777777" w:rsidR="00E82E41" w:rsidRPr="00E82E41" w:rsidRDefault="00E82E41" w:rsidP="003D28A5">
            <w:pPr>
              <w:jc w:val="center"/>
            </w:pPr>
            <w:r w:rsidRPr="00E82E41">
              <w:t>Station unit operating cost</w:t>
            </w:r>
          </w:p>
        </w:tc>
        <w:tc>
          <w:tcPr>
            <w:tcW w:w="1429" w:type="dxa"/>
            <w:tcBorders>
              <w:bottom w:val="single" w:sz="4" w:space="0" w:color="auto"/>
            </w:tcBorders>
            <w:noWrap/>
            <w:hideMark/>
          </w:tcPr>
          <w:p w14:paraId="709B9AD0"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1</w:t>
            </w:r>
          </w:p>
        </w:tc>
        <w:tc>
          <w:tcPr>
            <w:tcW w:w="1097" w:type="dxa"/>
            <w:tcBorders>
              <w:bottom w:val="single" w:sz="4" w:space="0" w:color="auto"/>
            </w:tcBorders>
            <w:noWrap/>
            <w:hideMark/>
          </w:tcPr>
          <w:p w14:paraId="1C8F015F"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1078" w:type="dxa"/>
            <w:noWrap/>
            <w:hideMark/>
          </w:tcPr>
          <w:p w14:paraId="35344AE4"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2156" w:type="dxa"/>
            <w:noWrap/>
            <w:hideMark/>
          </w:tcPr>
          <w:p w14:paraId="3229DB34" w14:textId="4B1AA92E"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M$/</w:t>
            </w:r>
            <w:r w:rsidR="00123BC2">
              <w:t>station/year</w:t>
            </w:r>
          </w:p>
        </w:tc>
      </w:tr>
      <w:tr w:rsidR="00951B6F" w:rsidRPr="00E82E41" w14:paraId="41B08533"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869EDE" w14:textId="0447B1DE" w:rsidR="00E82E41" w:rsidRPr="000549CE" w:rsidRDefault="00E82E41" w:rsidP="003D28A5">
            <w:pPr>
              <w:jc w:val="center"/>
              <w:rPr>
                <w:i w:val="0"/>
                <w:iCs w:val="0"/>
              </w:rPr>
            </w:pPr>
            <w:r w:rsidRPr="000549CE">
              <w:rPr>
                <w:i w:val="0"/>
                <w:iCs w:val="0"/>
              </w:rPr>
              <w:t xml:space="preserve">Total </w:t>
            </w:r>
            <w:r w:rsidR="004F0F73">
              <w:rPr>
                <w:i w:val="0"/>
                <w:iCs w:val="0"/>
              </w:rPr>
              <w:t xml:space="preserve">network </w:t>
            </w:r>
            <w:r w:rsidRPr="000549CE">
              <w:rPr>
                <w:i w:val="0"/>
                <w:iCs w:val="0"/>
              </w:rPr>
              <w:t>operating cost</w:t>
            </w:r>
          </w:p>
        </w:tc>
        <w:tc>
          <w:tcPr>
            <w:tcW w:w="1429" w:type="dxa"/>
            <w:tcBorders>
              <w:top w:val="single" w:sz="4" w:space="0" w:color="auto"/>
              <w:bottom w:val="single" w:sz="4" w:space="0" w:color="auto"/>
            </w:tcBorders>
            <w:noWrap/>
            <w:hideMark/>
          </w:tcPr>
          <w:p w14:paraId="378965EB"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bottom w:val="single" w:sz="4" w:space="0" w:color="auto"/>
            </w:tcBorders>
            <w:noWrap/>
            <w:hideMark/>
          </w:tcPr>
          <w:p w14:paraId="2D17B5D9"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r w:rsidRPr="00E82E41">
              <w:t>5</w:t>
            </w:r>
          </w:p>
        </w:tc>
        <w:tc>
          <w:tcPr>
            <w:tcW w:w="1078" w:type="dxa"/>
            <w:tcBorders>
              <w:bottom w:val="single" w:sz="4" w:space="0" w:color="auto"/>
            </w:tcBorders>
            <w:noWrap/>
            <w:hideMark/>
          </w:tcPr>
          <w:p w14:paraId="01A818A2"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p>
        </w:tc>
        <w:tc>
          <w:tcPr>
            <w:tcW w:w="2156" w:type="dxa"/>
            <w:noWrap/>
            <w:hideMark/>
          </w:tcPr>
          <w:p w14:paraId="28C5A751" w14:textId="77777777" w:rsidR="00E82E41" w:rsidRPr="00E82E41" w:rsidRDefault="00E82E41" w:rsidP="00951B6F">
            <w:pPr>
              <w:jc w:val="center"/>
              <w:cnfStyle w:val="000000000000" w:firstRow="0" w:lastRow="0" w:firstColumn="0" w:lastColumn="0" w:oddVBand="0" w:evenVBand="0" w:oddHBand="0" w:evenHBand="0" w:firstRowFirstColumn="0" w:firstRowLastColumn="0" w:lastRowFirstColumn="0" w:lastRowLastColumn="0"/>
            </w:pPr>
            <w:r w:rsidRPr="00E82E41">
              <w:t>M$/year</w:t>
            </w:r>
          </w:p>
        </w:tc>
      </w:tr>
      <w:tr w:rsidR="000549CE" w:rsidRPr="00E82E41" w14:paraId="24D0F86D"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tcBorders>
              <w:bottom w:val="single" w:sz="4" w:space="0" w:color="auto"/>
            </w:tcBorders>
            <w:noWrap/>
            <w:hideMark/>
          </w:tcPr>
          <w:p w14:paraId="2BF2D267" w14:textId="4699B7F9" w:rsidR="00E82E41" w:rsidRPr="000549CE" w:rsidRDefault="00E82E41" w:rsidP="003D28A5">
            <w:pPr>
              <w:jc w:val="center"/>
              <w:rPr>
                <w:b/>
                <w:bCs/>
                <w:i w:val="0"/>
                <w:iCs w:val="0"/>
              </w:rPr>
            </w:pPr>
            <w:r w:rsidRPr="000549CE">
              <w:rPr>
                <w:b/>
                <w:bCs/>
                <w:i w:val="0"/>
                <w:iCs w:val="0"/>
              </w:rPr>
              <w:t>Running cost</w:t>
            </w:r>
          </w:p>
        </w:tc>
        <w:tc>
          <w:tcPr>
            <w:tcW w:w="1429" w:type="dxa"/>
            <w:tcBorders>
              <w:top w:val="single" w:sz="4" w:space="0" w:color="auto"/>
              <w:bottom w:val="single" w:sz="4" w:space="0" w:color="auto"/>
            </w:tcBorders>
            <w:noWrap/>
            <w:hideMark/>
          </w:tcPr>
          <w:p w14:paraId="1D7E859F" w14:textId="56A55246"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1097" w:type="dxa"/>
            <w:tcBorders>
              <w:top w:val="single" w:sz="4" w:space="0" w:color="auto"/>
              <w:bottom w:val="single" w:sz="4" w:space="0" w:color="auto"/>
            </w:tcBorders>
            <w:noWrap/>
            <w:hideMark/>
          </w:tcPr>
          <w:p w14:paraId="19D8F430" w14:textId="1F5235E0"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p>
        </w:tc>
        <w:tc>
          <w:tcPr>
            <w:tcW w:w="1078" w:type="dxa"/>
            <w:tcBorders>
              <w:top w:val="single" w:sz="4" w:space="0" w:color="auto"/>
              <w:bottom w:val="single" w:sz="4" w:space="0" w:color="auto"/>
            </w:tcBorders>
            <w:noWrap/>
            <w:hideMark/>
          </w:tcPr>
          <w:p w14:paraId="331C9D98"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7</w:t>
            </w:r>
          </w:p>
        </w:tc>
        <w:tc>
          <w:tcPr>
            <w:tcW w:w="2156" w:type="dxa"/>
            <w:tcBorders>
              <w:bottom w:val="single" w:sz="4" w:space="0" w:color="auto"/>
            </w:tcBorders>
            <w:noWrap/>
            <w:hideMark/>
          </w:tcPr>
          <w:p w14:paraId="6BD6A6FC" w14:textId="77777777" w:rsidR="00E82E41" w:rsidRPr="00E82E41" w:rsidRDefault="00E82E41" w:rsidP="00951B6F">
            <w:pPr>
              <w:jc w:val="center"/>
              <w:cnfStyle w:val="000000100000" w:firstRow="0" w:lastRow="0" w:firstColumn="0" w:lastColumn="0" w:oddVBand="0" w:evenVBand="0" w:oddHBand="1" w:evenHBand="0" w:firstRowFirstColumn="0" w:firstRowLastColumn="0" w:lastRowFirstColumn="0" w:lastRowLastColumn="0"/>
            </w:pPr>
            <w:r w:rsidRPr="00E82E41">
              <w:t>M$/year</w:t>
            </w:r>
          </w:p>
        </w:tc>
      </w:tr>
      <w:tr w:rsidR="000A7502" w:rsidRPr="00E82E41" w14:paraId="10B0BC97"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tcBorders>
            <w:noWrap/>
            <w:hideMark/>
          </w:tcPr>
          <w:p w14:paraId="7FD73035" w14:textId="77777777" w:rsidR="000A7502" w:rsidRPr="000A7502" w:rsidRDefault="000A7502" w:rsidP="003D28A5">
            <w:pPr>
              <w:jc w:val="center"/>
              <w:rPr>
                <w:i w:val="0"/>
                <w:iCs w:val="0"/>
              </w:rPr>
            </w:pPr>
            <w:r w:rsidRPr="000A7502">
              <w:rPr>
                <w:i w:val="0"/>
                <w:iCs w:val="0"/>
              </w:rPr>
              <w:t>NRE</w:t>
            </w:r>
          </w:p>
        </w:tc>
        <w:tc>
          <w:tcPr>
            <w:tcW w:w="1429" w:type="dxa"/>
            <w:tcBorders>
              <w:top w:val="single" w:sz="4" w:space="0" w:color="auto"/>
            </w:tcBorders>
            <w:noWrap/>
          </w:tcPr>
          <w:p w14:paraId="7D614D72" w14:textId="4B88DD2D"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p>
        </w:tc>
        <w:tc>
          <w:tcPr>
            <w:tcW w:w="1097" w:type="dxa"/>
            <w:tcBorders>
              <w:top w:val="single" w:sz="4" w:space="0" w:color="auto"/>
            </w:tcBorders>
            <w:noWrap/>
            <w:hideMark/>
          </w:tcPr>
          <w:p w14:paraId="18E519B5" w14:textId="410C93D6"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r>
              <w:t>0</w:t>
            </w:r>
          </w:p>
        </w:tc>
        <w:tc>
          <w:tcPr>
            <w:tcW w:w="1078" w:type="dxa"/>
            <w:tcBorders>
              <w:top w:val="single" w:sz="4" w:space="0" w:color="auto"/>
            </w:tcBorders>
            <w:noWrap/>
            <w:hideMark/>
          </w:tcPr>
          <w:p w14:paraId="28180202" w14:textId="2639E57C"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p>
        </w:tc>
        <w:tc>
          <w:tcPr>
            <w:tcW w:w="2156" w:type="dxa"/>
            <w:tcBorders>
              <w:top w:val="single" w:sz="4" w:space="0" w:color="auto"/>
            </w:tcBorders>
            <w:noWrap/>
            <w:hideMark/>
          </w:tcPr>
          <w:p w14:paraId="3C11C49E" w14:textId="77777777"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r w:rsidRPr="00E82E41">
              <w:t>M$</w:t>
            </w:r>
          </w:p>
        </w:tc>
      </w:tr>
      <w:tr w:rsidR="000A7502" w:rsidRPr="00E82E41" w14:paraId="6F5D63FB"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3FA281" w14:textId="341A70E7" w:rsidR="000A7502" w:rsidRPr="000A7502" w:rsidRDefault="000A7502" w:rsidP="003D28A5">
            <w:pPr>
              <w:jc w:val="center"/>
              <w:rPr>
                <w:i w:val="0"/>
                <w:iCs w:val="0"/>
              </w:rPr>
            </w:pPr>
            <w:r w:rsidRPr="000A7502">
              <w:rPr>
                <w:i w:val="0"/>
                <w:iCs w:val="0"/>
              </w:rPr>
              <w:t xml:space="preserve">First operational </w:t>
            </w:r>
            <w:r w:rsidR="004F0F73">
              <w:rPr>
                <w:i w:val="0"/>
                <w:iCs w:val="0"/>
              </w:rPr>
              <w:t>network</w:t>
            </w:r>
          </w:p>
        </w:tc>
        <w:tc>
          <w:tcPr>
            <w:tcW w:w="1429" w:type="dxa"/>
            <w:noWrap/>
          </w:tcPr>
          <w:p w14:paraId="0F4A0ACE" w14:textId="5C99E7EE" w:rsidR="000A7502" w:rsidRPr="00E82E41" w:rsidRDefault="000A7502" w:rsidP="000A7502">
            <w:pPr>
              <w:jc w:val="center"/>
              <w:cnfStyle w:val="000000100000" w:firstRow="0" w:lastRow="0" w:firstColumn="0" w:lastColumn="0" w:oddVBand="0" w:evenVBand="0" w:oddHBand="1" w:evenHBand="0" w:firstRowFirstColumn="0" w:firstRowLastColumn="0" w:lastRowFirstColumn="0" w:lastRowLastColumn="0"/>
            </w:pPr>
          </w:p>
        </w:tc>
        <w:tc>
          <w:tcPr>
            <w:tcW w:w="1097" w:type="dxa"/>
            <w:noWrap/>
            <w:hideMark/>
          </w:tcPr>
          <w:p w14:paraId="268D2F71" w14:textId="1A90416D" w:rsidR="000A7502" w:rsidRPr="00E82E41" w:rsidRDefault="000A7502" w:rsidP="000A7502">
            <w:pPr>
              <w:jc w:val="center"/>
              <w:cnfStyle w:val="000000100000" w:firstRow="0" w:lastRow="0" w:firstColumn="0" w:lastColumn="0" w:oddVBand="0" w:evenVBand="0" w:oddHBand="1" w:evenHBand="0" w:firstRowFirstColumn="0" w:firstRowLastColumn="0" w:lastRowFirstColumn="0" w:lastRowLastColumn="0"/>
            </w:pPr>
            <w:r w:rsidRPr="00E82E41">
              <w:t>140</w:t>
            </w:r>
          </w:p>
        </w:tc>
        <w:tc>
          <w:tcPr>
            <w:tcW w:w="1078" w:type="dxa"/>
            <w:noWrap/>
            <w:hideMark/>
          </w:tcPr>
          <w:p w14:paraId="1161DB25" w14:textId="3A00F555" w:rsidR="000A7502" w:rsidRPr="00E82E41" w:rsidRDefault="000A7502" w:rsidP="000A7502">
            <w:pPr>
              <w:jc w:val="center"/>
              <w:cnfStyle w:val="000000100000" w:firstRow="0" w:lastRow="0" w:firstColumn="0" w:lastColumn="0" w:oddVBand="0" w:evenVBand="0" w:oddHBand="1" w:evenHBand="0" w:firstRowFirstColumn="0" w:firstRowLastColumn="0" w:lastRowFirstColumn="0" w:lastRowLastColumn="0"/>
            </w:pPr>
          </w:p>
        </w:tc>
        <w:tc>
          <w:tcPr>
            <w:tcW w:w="2156" w:type="dxa"/>
            <w:noWrap/>
            <w:hideMark/>
          </w:tcPr>
          <w:p w14:paraId="7220CCCA" w14:textId="77777777" w:rsidR="000A7502" w:rsidRPr="00E82E41" w:rsidRDefault="000A7502" w:rsidP="000A7502">
            <w:pPr>
              <w:jc w:val="center"/>
              <w:cnfStyle w:val="000000100000" w:firstRow="0" w:lastRow="0" w:firstColumn="0" w:lastColumn="0" w:oddVBand="0" w:evenVBand="0" w:oddHBand="1" w:evenHBand="0" w:firstRowFirstColumn="0" w:firstRowLastColumn="0" w:lastRowFirstColumn="0" w:lastRowLastColumn="0"/>
            </w:pPr>
            <w:r w:rsidRPr="00E82E41">
              <w:t>M$</w:t>
            </w:r>
          </w:p>
        </w:tc>
      </w:tr>
      <w:tr w:rsidR="000A7502" w:rsidRPr="00E82E41" w14:paraId="5B14DF63"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tcBorders>
              <w:bottom w:val="single" w:sz="4" w:space="0" w:color="auto"/>
            </w:tcBorders>
            <w:noWrap/>
            <w:hideMark/>
          </w:tcPr>
          <w:p w14:paraId="6CD18519" w14:textId="60133AB7" w:rsidR="000A7502" w:rsidRPr="00951B6F" w:rsidRDefault="000A7502" w:rsidP="003D28A5">
            <w:pPr>
              <w:jc w:val="center"/>
              <w:rPr>
                <w:b/>
                <w:bCs/>
                <w:i w:val="0"/>
                <w:iCs w:val="0"/>
              </w:rPr>
            </w:pPr>
            <w:r w:rsidRPr="00951B6F">
              <w:rPr>
                <w:b/>
                <w:bCs/>
                <w:i w:val="0"/>
                <w:iCs w:val="0"/>
              </w:rPr>
              <w:lastRenderedPageBreak/>
              <w:t>Up-front cost</w:t>
            </w:r>
          </w:p>
        </w:tc>
        <w:tc>
          <w:tcPr>
            <w:tcW w:w="1429" w:type="dxa"/>
            <w:tcBorders>
              <w:bottom w:val="single" w:sz="4" w:space="0" w:color="auto"/>
            </w:tcBorders>
            <w:noWrap/>
            <w:hideMark/>
          </w:tcPr>
          <w:p w14:paraId="3CEC0618" w14:textId="30FF5CFC"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p>
        </w:tc>
        <w:tc>
          <w:tcPr>
            <w:tcW w:w="1097" w:type="dxa"/>
            <w:tcBorders>
              <w:bottom w:val="single" w:sz="4" w:space="0" w:color="auto"/>
            </w:tcBorders>
            <w:noWrap/>
            <w:hideMark/>
          </w:tcPr>
          <w:p w14:paraId="45B2A3DB" w14:textId="4F9EF1B5"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p>
        </w:tc>
        <w:tc>
          <w:tcPr>
            <w:tcW w:w="1078" w:type="dxa"/>
            <w:tcBorders>
              <w:bottom w:val="single" w:sz="4" w:space="0" w:color="auto"/>
            </w:tcBorders>
            <w:noWrap/>
            <w:hideMark/>
          </w:tcPr>
          <w:p w14:paraId="7144D9EE" w14:textId="77777777"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r w:rsidRPr="00E82E41">
              <w:t>140</w:t>
            </w:r>
          </w:p>
        </w:tc>
        <w:tc>
          <w:tcPr>
            <w:tcW w:w="2156" w:type="dxa"/>
            <w:tcBorders>
              <w:bottom w:val="single" w:sz="4" w:space="0" w:color="auto"/>
            </w:tcBorders>
            <w:noWrap/>
            <w:hideMark/>
          </w:tcPr>
          <w:p w14:paraId="79696356" w14:textId="77777777" w:rsidR="000A7502" w:rsidRPr="00E82E41" w:rsidRDefault="000A7502" w:rsidP="000A7502">
            <w:pPr>
              <w:jc w:val="center"/>
              <w:cnfStyle w:val="000000000000" w:firstRow="0" w:lastRow="0" w:firstColumn="0" w:lastColumn="0" w:oddVBand="0" w:evenVBand="0" w:oddHBand="0" w:evenHBand="0" w:firstRowFirstColumn="0" w:firstRowLastColumn="0" w:lastRowFirstColumn="0" w:lastRowLastColumn="0"/>
            </w:pPr>
            <w:r w:rsidRPr="00E82E41">
              <w:t>M$</w:t>
            </w:r>
          </w:p>
        </w:tc>
      </w:tr>
    </w:tbl>
    <w:p w14:paraId="3AB4EB91" w14:textId="77777777" w:rsidR="00E82E41" w:rsidRDefault="00E82E41" w:rsidP="002200B4"/>
    <w:p w14:paraId="6E7E2943" w14:textId="77777777" w:rsidR="004F5D8D" w:rsidRDefault="004F5D8D" w:rsidP="00DF55D5">
      <w:pPr>
        <w:jc w:val="center"/>
      </w:pPr>
    </w:p>
    <w:p w14:paraId="340911A4" w14:textId="35F928FA" w:rsidR="00DF55D5" w:rsidRPr="00581647" w:rsidRDefault="00DF55D5" w:rsidP="00581647">
      <w:pPr>
        <w:rPr>
          <w:i/>
          <w:iCs/>
          <w:color w:val="0B3D91" w:themeColor="accent1"/>
          <w:sz w:val="18"/>
          <w:szCs w:val="18"/>
        </w:rPr>
      </w:pPr>
      <w:r w:rsidRPr="00581647">
        <w:rPr>
          <w:i/>
          <w:iCs/>
          <w:color w:val="0B3D91" w:themeColor="accent1"/>
          <w:sz w:val="18"/>
          <w:szCs w:val="18"/>
        </w:rPr>
        <w:t xml:space="preserve">Table </w:t>
      </w:r>
      <w:r w:rsidRPr="00581647">
        <w:rPr>
          <w:i/>
          <w:iCs/>
          <w:color w:val="0B3D91" w:themeColor="accent1"/>
          <w:sz w:val="18"/>
          <w:szCs w:val="18"/>
        </w:rPr>
        <w:fldChar w:fldCharType="begin"/>
      </w:r>
      <w:r w:rsidRPr="00581647">
        <w:rPr>
          <w:i/>
          <w:iCs/>
          <w:color w:val="0B3D91" w:themeColor="accent1"/>
          <w:sz w:val="18"/>
          <w:szCs w:val="18"/>
        </w:rPr>
        <w:instrText xml:space="preserve"> SEQ Table \* ARABIC </w:instrText>
      </w:r>
      <w:r w:rsidRPr="00581647">
        <w:rPr>
          <w:i/>
          <w:iCs/>
          <w:color w:val="0B3D91" w:themeColor="accent1"/>
          <w:sz w:val="18"/>
          <w:szCs w:val="18"/>
        </w:rPr>
        <w:fldChar w:fldCharType="separate"/>
      </w:r>
      <w:r w:rsidR="001F0D0C">
        <w:rPr>
          <w:i/>
          <w:iCs/>
          <w:noProof/>
          <w:color w:val="0B3D91" w:themeColor="accent1"/>
          <w:sz w:val="18"/>
          <w:szCs w:val="18"/>
        </w:rPr>
        <w:t>13</w:t>
      </w:r>
      <w:r w:rsidRPr="00581647">
        <w:rPr>
          <w:i/>
          <w:iCs/>
          <w:color w:val="0B3D91" w:themeColor="accent1"/>
          <w:sz w:val="18"/>
          <w:szCs w:val="18"/>
        </w:rPr>
        <w:fldChar w:fldCharType="end"/>
      </w:r>
      <w:r w:rsidRPr="00581647">
        <w:rPr>
          <w:i/>
          <w:iCs/>
          <w:color w:val="0B3D91" w:themeColor="accent1"/>
          <w:sz w:val="18"/>
          <w:szCs w:val="18"/>
        </w:rPr>
        <w:t xml:space="preserve">: Costs for radar </w:t>
      </w:r>
      <w:r w:rsidR="004F0F73" w:rsidRPr="00581647">
        <w:rPr>
          <w:i/>
          <w:iCs/>
          <w:color w:val="0B3D91" w:themeColor="accent1"/>
          <w:sz w:val="18"/>
          <w:szCs w:val="18"/>
        </w:rPr>
        <w:t>network</w:t>
      </w:r>
      <w:r w:rsidRPr="00581647">
        <w:rPr>
          <w:i/>
          <w:iCs/>
          <w:color w:val="0B3D91" w:themeColor="accent1"/>
          <w:sz w:val="18"/>
          <w:szCs w:val="18"/>
        </w:rPr>
        <w:t xml:space="preserve"> to track small debris</w:t>
      </w:r>
    </w:p>
    <w:tbl>
      <w:tblPr>
        <w:tblStyle w:val="PlainTable5"/>
        <w:tblW w:w="0" w:type="auto"/>
        <w:tblLook w:val="04A0" w:firstRow="1" w:lastRow="0" w:firstColumn="1" w:lastColumn="0" w:noHBand="0" w:noVBand="1"/>
      </w:tblPr>
      <w:tblGrid>
        <w:gridCol w:w="3600"/>
        <w:gridCol w:w="1429"/>
        <w:gridCol w:w="1097"/>
        <w:gridCol w:w="1078"/>
        <w:gridCol w:w="2156"/>
      </w:tblGrid>
      <w:tr w:rsidR="003D28A5" w:rsidRPr="00E82E41" w14:paraId="127C89A5" w14:textId="77777777" w:rsidTr="001C3B1B">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3600" w:type="dxa"/>
            <w:noWrap/>
            <w:hideMark/>
          </w:tcPr>
          <w:p w14:paraId="5B481E54" w14:textId="77777777" w:rsidR="00121D6A" w:rsidRPr="003D28A5" w:rsidRDefault="00121D6A">
            <w:pPr>
              <w:spacing w:before="192"/>
              <w:jc w:val="center"/>
              <w:rPr>
                <w:b/>
                <w:bCs/>
                <w:i w:val="0"/>
                <w:iCs w:val="0"/>
              </w:rPr>
            </w:pPr>
            <w:r w:rsidRPr="003D28A5">
              <w:rPr>
                <w:b/>
                <w:bCs/>
                <w:i w:val="0"/>
                <w:iCs w:val="0"/>
              </w:rPr>
              <w:t>Line item</w:t>
            </w:r>
          </w:p>
        </w:tc>
        <w:tc>
          <w:tcPr>
            <w:tcW w:w="1429" w:type="dxa"/>
            <w:noWrap/>
            <w:hideMark/>
          </w:tcPr>
          <w:p w14:paraId="78C06D6E" w14:textId="77777777" w:rsidR="00121D6A" w:rsidRPr="003D28A5" w:rsidRDefault="00121D6A">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3D28A5">
              <w:rPr>
                <w:b/>
                <w:bCs/>
                <w:i w:val="0"/>
                <w:iCs w:val="0"/>
              </w:rPr>
              <w:t>Element</w:t>
            </w:r>
          </w:p>
        </w:tc>
        <w:tc>
          <w:tcPr>
            <w:tcW w:w="1097" w:type="dxa"/>
            <w:noWrap/>
            <w:hideMark/>
          </w:tcPr>
          <w:p w14:paraId="09330AE7" w14:textId="77777777" w:rsidR="00121D6A" w:rsidRPr="003D28A5" w:rsidRDefault="00121D6A">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3D28A5">
              <w:rPr>
                <w:b/>
                <w:bCs/>
                <w:i w:val="0"/>
                <w:iCs w:val="0"/>
              </w:rPr>
              <w:t>Subtotal</w:t>
            </w:r>
          </w:p>
        </w:tc>
        <w:tc>
          <w:tcPr>
            <w:tcW w:w="1078" w:type="dxa"/>
            <w:noWrap/>
            <w:hideMark/>
          </w:tcPr>
          <w:p w14:paraId="0635EFA7" w14:textId="77777777" w:rsidR="00121D6A" w:rsidRPr="003D28A5" w:rsidRDefault="00121D6A">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3D28A5">
              <w:rPr>
                <w:b/>
                <w:bCs/>
                <w:i w:val="0"/>
                <w:iCs w:val="0"/>
              </w:rPr>
              <w:t>Total</w:t>
            </w:r>
          </w:p>
        </w:tc>
        <w:tc>
          <w:tcPr>
            <w:tcW w:w="2156" w:type="dxa"/>
            <w:noWrap/>
            <w:hideMark/>
          </w:tcPr>
          <w:p w14:paraId="5E3781D4" w14:textId="77777777" w:rsidR="00121D6A" w:rsidRPr="003D28A5" w:rsidRDefault="00121D6A">
            <w:pPr>
              <w:spacing w:before="192"/>
              <w:jc w:val="center"/>
              <w:cnfStyle w:val="100000000000" w:firstRow="1" w:lastRow="0" w:firstColumn="0" w:lastColumn="0" w:oddVBand="0" w:evenVBand="0" w:oddHBand="0" w:evenHBand="0" w:firstRowFirstColumn="0" w:firstRowLastColumn="0" w:lastRowFirstColumn="0" w:lastRowLastColumn="0"/>
              <w:rPr>
                <w:b/>
                <w:bCs/>
                <w:i w:val="0"/>
                <w:iCs w:val="0"/>
              </w:rPr>
            </w:pPr>
            <w:r w:rsidRPr="003D28A5">
              <w:rPr>
                <w:b/>
                <w:bCs/>
                <w:i w:val="0"/>
                <w:iCs w:val="0"/>
              </w:rPr>
              <w:t>Unit</w:t>
            </w:r>
          </w:p>
        </w:tc>
      </w:tr>
      <w:tr w:rsidR="00121D6A" w:rsidRPr="00E82E41" w14:paraId="724E2D0D"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4EB93A6F" w14:textId="77777777" w:rsidR="00121D6A" w:rsidRPr="00F26AB1" w:rsidRDefault="00121D6A" w:rsidP="003D28A5">
            <w:pPr>
              <w:spacing w:before="192"/>
              <w:jc w:val="center"/>
            </w:pPr>
            <w:r w:rsidRPr="00F26AB1">
              <w:t>Station unit cost</w:t>
            </w:r>
          </w:p>
        </w:tc>
        <w:tc>
          <w:tcPr>
            <w:tcW w:w="1429" w:type="dxa"/>
            <w:noWrap/>
            <w:vAlign w:val="bottom"/>
            <w:hideMark/>
          </w:tcPr>
          <w:p w14:paraId="330396B5"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350</w:t>
            </w:r>
          </w:p>
        </w:tc>
        <w:tc>
          <w:tcPr>
            <w:tcW w:w="1097" w:type="dxa"/>
            <w:noWrap/>
            <w:vAlign w:val="bottom"/>
            <w:hideMark/>
          </w:tcPr>
          <w:p w14:paraId="2BB96430"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p>
        </w:tc>
        <w:tc>
          <w:tcPr>
            <w:tcW w:w="1078" w:type="dxa"/>
            <w:noWrap/>
            <w:vAlign w:val="bottom"/>
            <w:hideMark/>
          </w:tcPr>
          <w:p w14:paraId="02455564"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p>
        </w:tc>
        <w:tc>
          <w:tcPr>
            <w:tcW w:w="2156" w:type="dxa"/>
            <w:noWrap/>
            <w:vAlign w:val="bottom"/>
            <w:hideMark/>
          </w:tcPr>
          <w:p w14:paraId="38E98989"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M$/station</w:t>
            </w:r>
          </w:p>
        </w:tc>
      </w:tr>
      <w:tr w:rsidR="00123BC2" w:rsidRPr="00E82E41" w14:paraId="661B2E68"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3C234C3A" w14:textId="77777777" w:rsidR="00121D6A" w:rsidRPr="00F26AB1" w:rsidRDefault="00121D6A" w:rsidP="003D28A5">
            <w:pPr>
              <w:spacing w:before="192"/>
              <w:jc w:val="center"/>
            </w:pPr>
            <w:r w:rsidRPr="00F26AB1">
              <w:t>Number of stations</w:t>
            </w:r>
          </w:p>
        </w:tc>
        <w:tc>
          <w:tcPr>
            <w:tcW w:w="1429" w:type="dxa"/>
            <w:noWrap/>
            <w:vAlign w:val="bottom"/>
            <w:hideMark/>
          </w:tcPr>
          <w:p w14:paraId="31301454"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2</w:t>
            </w:r>
          </w:p>
        </w:tc>
        <w:tc>
          <w:tcPr>
            <w:tcW w:w="1097" w:type="dxa"/>
            <w:noWrap/>
            <w:vAlign w:val="bottom"/>
            <w:hideMark/>
          </w:tcPr>
          <w:p w14:paraId="1C88AA64"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1078" w:type="dxa"/>
            <w:noWrap/>
            <w:vAlign w:val="bottom"/>
            <w:hideMark/>
          </w:tcPr>
          <w:p w14:paraId="41FD89EE"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2156" w:type="dxa"/>
            <w:noWrap/>
            <w:vAlign w:val="bottom"/>
            <w:hideMark/>
          </w:tcPr>
          <w:p w14:paraId="36A153DE" w14:textId="1A38BEC9"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stations/</w:t>
            </w:r>
            <w:r w:rsidR="004F0F73">
              <w:t>network</w:t>
            </w:r>
          </w:p>
        </w:tc>
      </w:tr>
      <w:tr w:rsidR="00121D6A" w:rsidRPr="00E82E41" w14:paraId="6DEC31E1"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3BD045EA" w14:textId="77777777" w:rsidR="00121D6A" w:rsidRPr="00F26AB1" w:rsidRDefault="00121D6A" w:rsidP="003D28A5">
            <w:pPr>
              <w:spacing w:before="192"/>
              <w:jc w:val="center"/>
            </w:pPr>
            <w:r w:rsidRPr="00F26AB1">
              <w:t>Lifetime</w:t>
            </w:r>
          </w:p>
        </w:tc>
        <w:tc>
          <w:tcPr>
            <w:tcW w:w="1429" w:type="dxa"/>
            <w:tcBorders>
              <w:bottom w:val="single" w:sz="4" w:space="0" w:color="auto"/>
            </w:tcBorders>
            <w:noWrap/>
            <w:vAlign w:val="bottom"/>
            <w:hideMark/>
          </w:tcPr>
          <w:p w14:paraId="4016FEB2"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20</w:t>
            </w:r>
          </w:p>
        </w:tc>
        <w:tc>
          <w:tcPr>
            <w:tcW w:w="1097" w:type="dxa"/>
            <w:tcBorders>
              <w:bottom w:val="single" w:sz="4" w:space="0" w:color="auto"/>
            </w:tcBorders>
            <w:noWrap/>
            <w:vAlign w:val="bottom"/>
            <w:hideMark/>
          </w:tcPr>
          <w:p w14:paraId="4D35C097" w14:textId="77777777" w:rsidR="00121D6A" w:rsidRPr="004F3DAD" w:rsidRDefault="00121D6A" w:rsidP="00151827">
            <w:pPr>
              <w:spacing w:before="192"/>
              <w:cnfStyle w:val="000000100000" w:firstRow="0" w:lastRow="0" w:firstColumn="0" w:lastColumn="0" w:oddVBand="0" w:evenVBand="0" w:oddHBand="1" w:evenHBand="0" w:firstRowFirstColumn="0" w:firstRowLastColumn="0" w:lastRowFirstColumn="0" w:lastRowLastColumn="0"/>
              <w:rPr>
                <w:rFonts w:eastAsiaTheme="majorEastAsia" w:cstheme="majorBidi"/>
              </w:rPr>
            </w:pPr>
          </w:p>
        </w:tc>
        <w:tc>
          <w:tcPr>
            <w:tcW w:w="1078" w:type="dxa"/>
            <w:noWrap/>
            <w:vAlign w:val="bottom"/>
            <w:hideMark/>
          </w:tcPr>
          <w:p w14:paraId="222A371A"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p>
        </w:tc>
        <w:tc>
          <w:tcPr>
            <w:tcW w:w="2156" w:type="dxa"/>
            <w:noWrap/>
            <w:vAlign w:val="bottom"/>
            <w:hideMark/>
          </w:tcPr>
          <w:p w14:paraId="4890968B"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years/station</w:t>
            </w:r>
          </w:p>
        </w:tc>
      </w:tr>
      <w:tr w:rsidR="00123BC2" w:rsidRPr="00E82E41" w14:paraId="7096C812"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19426759" w14:textId="4E3FEF14" w:rsidR="00121D6A" w:rsidRPr="004F3DAD" w:rsidRDefault="00121D6A" w:rsidP="003D28A5">
            <w:pPr>
              <w:spacing w:before="192"/>
              <w:jc w:val="center"/>
              <w:rPr>
                <w:i w:val="0"/>
                <w:iCs w:val="0"/>
              </w:rPr>
            </w:pPr>
            <w:r w:rsidRPr="004F3DAD">
              <w:rPr>
                <w:i w:val="0"/>
                <w:iCs w:val="0"/>
              </w:rPr>
              <w:t xml:space="preserve">Total </w:t>
            </w:r>
            <w:r w:rsidR="004F0F73">
              <w:rPr>
                <w:i w:val="0"/>
                <w:iCs w:val="0"/>
              </w:rPr>
              <w:t>network</w:t>
            </w:r>
            <w:r w:rsidR="00275218">
              <w:rPr>
                <w:i w:val="0"/>
                <w:iCs w:val="0"/>
              </w:rPr>
              <w:t xml:space="preserve"> </w:t>
            </w:r>
            <w:r w:rsidRPr="004F3DAD">
              <w:rPr>
                <w:i w:val="0"/>
                <w:iCs w:val="0"/>
              </w:rPr>
              <w:t>replacement cost</w:t>
            </w:r>
          </w:p>
        </w:tc>
        <w:tc>
          <w:tcPr>
            <w:tcW w:w="1429" w:type="dxa"/>
            <w:tcBorders>
              <w:top w:val="single" w:sz="4" w:space="0" w:color="auto"/>
            </w:tcBorders>
            <w:noWrap/>
            <w:vAlign w:val="bottom"/>
            <w:hideMark/>
          </w:tcPr>
          <w:p w14:paraId="2383764F"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1097" w:type="dxa"/>
            <w:tcBorders>
              <w:top w:val="single" w:sz="4" w:space="0" w:color="auto"/>
            </w:tcBorders>
            <w:noWrap/>
            <w:vAlign w:val="bottom"/>
            <w:hideMark/>
          </w:tcPr>
          <w:p w14:paraId="055E784A"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700</w:t>
            </w:r>
          </w:p>
        </w:tc>
        <w:tc>
          <w:tcPr>
            <w:tcW w:w="1078" w:type="dxa"/>
            <w:noWrap/>
            <w:vAlign w:val="bottom"/>
            <w:hideMark/>
          </w:tcPr>
          <w:p w14:paraId="14395C38"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2156" w:type="dxa"/>
            <w:noWrap/>
            <w:vAlign w:val="bottom"/>
            <w:hideMark/>
          </w:tcPr>
          <w:p w14:paraId="77937FB2" w14:textId="3958AEDA"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M$/</w:t>
            </w:r>
            <w:r w:rsidR="004F0F73">
              <w:t>network</w:t>
            </w:r>
          </w:p>
        </w:tc>
      </w:tr>
      <w:tr w:rsidR="00DF55D5" w:rsidRPr="00E82E41" w14:paraId="768E012F"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noWrap/>
            <w:vAlign w:val="bottom"/>
          </w:tcPr>
          <w:p w14:paraId="7D0E9206" w14:textId="020216A0" w:rsidR="00DF55D5" w:rsidRPr="00DF55D5" w:rsidRDefault="00DF55D5" w:rsidP="003D28A5">
            <w:pPr>
              <w:spacing w:before="192"/>
              <w:jc w:val="center"/>
            </w:pPr>
            <w:r w:rsidRPr="00DF55D5">
              <w:t>Station unit operating cost</w:t>
            </w:r>
          </w:p>
        </w:tc>
        <w:tc>
          <w:tcPr>
            <w:tcW w:w="1429" w:type="dxa"/>
            <w:tcBorders>
              <w:bottom w:val="single" w:sz="4" w:space="0" w:color="auto"/>
            </w:tcBorders>
            <w:noWrap/>
            <w:vAlign w:val="bottom"/>
          </w:tcPr>
          <w:p w14:paraId="3304F867" w14:textId="252AAF59" w:rsidR="00DF55D5" w:rsidRPr="00DF55D5" w:rsidRDefault="00DF55D5" w:rsidP="00DF55D5">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DF55D5">
              <w:rPr>
                <w:rFonts w:eastAsiaTheme="majorEastAsia" w:cstheme="majorBidi"/>
              </w:rPr>
              <w:t>10</w:t>
            </w:r>
          </w:p>
        </w:tc>
        <w:tc>
          <w:tcPr>
            <w:tcW w:w="1097" w:type="dxa"/>
            <w:tcBorders>
              <w:bottom w:val="single" w:sz="4" w:space="0" w:color="auto"/>
            </w:tcBorders>
            <w:noWrap/>
            <w:vAlign w:val="bottom"/>
          </w:tcPr>
          <w:p w14:paraId="60BA436F" w14:textId="77777777" w:rsidR="00DF55D5" w:rsidRPr="00DF55D5" w:rsidRDefault="00DF55D5" w:rsidP="00DF55D5">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p>
        </w:tc>
        <w:tc>
          <w:tcPr>
            <w:tcW w:w="1078" w:type="dxa"/>
            <w:noWrap/>
            <w:vAlign w:val="bottom"/>
          </w:tcPr>
          <w:p w14:paraId="64B9E61E" w14:textId="77777777" w:rsidR="00DF55D5" w:rsidRPr="00DF55D5" w:rsidRDefault="00DF55D5" w:rsidP="00DF55D5">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p>
        </w:tc>
        <w:tc>
          <w:tcPr>
            <w:tcW w:w="2156" w:type="dxa"/>
            <w:noWrap/>
            <w:vAlign w:val="bottom"/>
          </w:tcPr>
          <w:p w14:paraId="4ABE0336" w14:textId="440E798E" w:rsidR="00DF55D5" w:rsidRPr="00DF55D5" w:rsidRDefault="00DF55D5" w:rsidP="00DF55D5">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DF55D5">
              <w:rPr>
                <w:rFonts w:eastAsiaTheme="majorEastAsia" w:cstheme="majorBidi"/>
              </w:rPr>
              <w:t>M$/</w:t>
            </w:r>
            <w:r w:rsidR="00123BC2">
              <w:rPr>
                <w:rFonts w:eastAsiaTheme="majorEastAsia" w:cstheme="majorBidi"/>
              </w:rPr>
              <w:t>station/year</w:t>
            </w:r>
          </w:p>
        </w:tc>
      </w:tr>
      <w:tr w:rsidR="00DF55D5" w:rsidRPr="00E82E41" w14:paraId="45FDFF55"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noWrap/>
            <w:vAlign w:val="bottom"/>
          </w:tcPr>
          <w:p w14:paraId="2B1DF40F" w14:textId="1B24C5AC" w:rsidR="00DF55D5" w:rsidRPr="00DF55D5" w:rsidRDefault="00DF55D5" w:rsidP="003D28A5">
            <w:pPr>
              <w:spacing w:before="192"/>
              <w:jc w:val="center"/>
              <w:rPr>
                <w:i w:val="0"/>
                <w:iCs w:val="0"/>
              </w:rPr>
            </w:pPr>
            <w:r w:rsidRPr="00DF55D5">
              <w:rPr>
                <w:i w:val="0"/>
                <w:iCs w:val="0"/>
              </w:rPr>
              <w:t xml:space="preserve">Total </w:t>
            </w:r>
            <w:r w:rsidR="004F0F73">
              <w:rPr>
                <w:i w:val="0"/>
                <w:iCs w:val="0"/>
              </w:rPr>
              <w:t>network</w:t>
            </w:r>
            <w:r w:rsidRPr="00DF55D5">
              <w:rPr>
                <w:i w:val="0"/>
                <w:iCs w:val="0"/>
              </w:rPr>
              <w:t xml:space="preserve"> operating cost</w:t>
            </w:r>
          </w:p>
        </w:tc>
        <w:tc>
          <w:tcPr>
            <w:tcW w:w="1429" w:type="dxa"/>
            <w:tcBorders>
              <w:top w:val="single" w:sz="4" w:space="0" w:color="auto"/>
              <w:bottom w:val="single" w:sz="4" w:space="0" w:color="auto"/>
            </w:tcBorders>
            <w:noWrap/>
            <w:vAlign w:val="bottom"/>
          </w:tcPr>
          <w:p w14:paraId="3728B772" w14:textId="77777777" w:rsidR="00DF55D5" w:rsidRPr="00DF55D5" w:rsidRDefault="00DF55D5" w:rsidP="00DF55D5">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1097" w:type="dxa"/>
            <w:tcBorders>
              <w:top w:val="single" w:sz="4" w:space="0" w:color="auto"/>
              <w:bottom w:val="single" w:sz="4" w:space="0" w:color="auto"/>
            </w:tcBorders>
            <w:noWrap/>
            <w:vAlign w:val="bottom"/>
          </w:tcPr>
          <w:p w14:paraId="30125BA5" w14:textId="365B080B" w:rsidR="00DF55D5" w:rsidRPr="00DF55D5" w:rsidRDefault="00DF55D5" w:rsidP="00DF55D5">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DF55D5">
              <w:rPr>
                <w:rFonts w:eastAsiaTheme="majorEastAsia" w:cstheme="majorBidi"/>
              </w:rPr>
              <w:t>20</w:t>
            </w:r>
          </w:p>
        </w:tc>
        <w:tc>
          <w:tcPr>
            <w:tcW w:w="1078" w:type="dxa"/>
            <w:tcBorders>
              <w:bottom w:val="single" w:sz="4" w:space="0" w:color="auto"/>
            </w:tcBorders>
            <w:noWrap/>
            <w:vAlign w:val="bottom"/>
          </w:tcPr>
          <w:p w14:paraId="4B528A81" w14:textId="77777777" w:rsidR="00DF55D5" w:rsidRPr="00DF55D5" w:rsidRDefault="00DF55D5" w:rsidP="00DF55D5">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2156" w:type="dxa"/>
            <w:noWrap/>
            <w:vAlign w:val="bottom"/>
          </w:tcPr>
          <w:p w14:paraId="38984E3B" w14:textId="5D506A4E" w:rsidR="00DF55D5" w:rsidRPr="00DF55D5" w:rsidRDefault="00DF55D5" w:rsidP="00DF55D5">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DF55D5">
              <w:rPr>
                <w:rFonts w:eastAsiaTheme="majorEastAsia" w:cstheme="majorBidi"/>
              </w:rPr>
              <w:t>M$/year</w:t>
            </w:r>
          </w:p>
        </w:tc>
      </w:tr>
      <w:tr w:rsidR="00123BC2" w:rsidRPr="00E82E41" w14:paraId="6860BF23"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tcBorders>
              <w:bottom w:val="single" w:sz="4" w:space="0" w:color="auto"/>
            </w:tcBorders>
            <w:noWrap/>
            <w:vAlign w:val="bottom"/>
            <w:hideMark/>
          </w:tcPr>
          <w:p w14:paraId="638656D8" w14:textId="77777777" w:rsidR="00121D6A" w:rsidRPr="00E672D4" w:rsidRDefault="00121D6A" w:rsidP="003D28A5">
            <w:pPr>
              <w:spacing w:before="192"/>
              <w:jc w:val="center"/>
              <w:rPr>
                <w:b/>
                <w:bCs/>
                <w:i w:val="0"/>
                <w:iCs w:val="0"/>
              </w:rPr>
            </w:pPr>
            <w:r w:rsidRPr="00E672D4">
              <w:rPr>
                <w:b/>
                <w:bCs/>
                <w:i w:val="0"/>
                <w:iCs w:val="0"/>
              </w:rPr>
              <w:t>Running cost</w:t>
            </w:r>
          </w:p>
        </w:tc>
        <w:tc>
          <w:tcPr>
            <w:tcW w:w="1429" w:type="dxa"/>
            <w:tcBorders>
              <w:top w:val="single" w:sz="4" w:space="0" w:color="auto"/>
              <w:bottom w:val="single" w:sz="4" w:space="0" w:color="auto"/>
            </w:tcBorders>
            <w:noWrap/>
            <w:vAlign w:val="bottom"/>
            <w:hideMark/>
          </w:tcPr>
          <w:p w14:paraId="33BE837F"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 </w:t>
            </w:r>
          </w:p>
        </w:tc>
        <w:tc>
          <w:tcPr>
            <w:tcW w:w="1097" w:type="dxa"/>
            <w:tcBorders>
              <w:top w:val="single" w:sz="4" w:space="0" w:color="auto"/>
              <w:bottom w:val="single" w:sz="4" w:space="0" w:color="auto"/>
            </w:tcBorders>
            <w:noWrap/>
            <w:vAlign w:val="bottom"/>
            <w:hideMark/>
          </w:tcPr>
          <w:p w14:paraId="2EC76F9C"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 </w:t>
            </w:r>
          </w:p>
        </w:tc>
        <w:tc>
          <w:tcPr>
            <w:tcW w:w="1078" w:type="dxa"/>
            <w:tcBorders>
              <w:top w:val="single" w:sz="4" w:space="0" w:color="auto"/>
              <w:bottom w:val="single" w:sz="4" w:space="0" w:color="auto"/>
            </w:tcBorders>
            <w:noWrap/>
            <w:vAlign w:val="bottom"/>
            <w:hideMark/>
          </w:tcPr>
          <w:p w14:paraId="341190A9" w14:textId="47EB87F6" w:rsidR="00121D6A" w:rsidRPr="004F3DAD" w:rsidRDefault="00DF55D5">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Pr>
                <w:rFonts w:eastAsiaTheme="majorEastAsia" w:cstheme="majorBidi"/>
              </w:rPr>
              <w:t>5</w:t>
            </w:r>
            <w:r w:rsidR="00121D6A" w:rsidRPr="004F3DAD">
              <w:rPr>
                <w:rFonts w:eastAsiaTheme="majorEastAsia" w:cstheme="majorBidi"/>
              </w:rPr>
              <w:t>5</w:t>
            </w:r>
          </w:p>
        </w:tc>
        <w:tc>
          <w:tcPr>
            <w:tcW w:w="2156" w:type="dxa"/>
            <w:tcBorders>
              <w:bottom w:val="single" w:sz="4" w:space="0" w:color="auto"/>
            </w:tcBorders>
            <w:noWrap/>
            <w:vAlign w:val="bottom"/>
            <w:hideMark/>
          </w:tcPr>
          <w:p w14:paraId="20E766D5"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M$/year</w:t>
            </w:r>
          </w:p>
        </w:tc>
      </w:tr>
      <w:tr w:rsidR="00DA6A6E" w:rsidRPr="00E82E41" w14:paraId="0EB6779F"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tcBorders>
            <w:noWrap/>
            <w:vAlign w:val="bottom"/>
            <w:hideMark/>
          </w:tcPr>
          <w:p w14:paraId="62917FAC" w14:textId="77777777" w:rsidR="00121D6A" w:rsidRPr="000A7502" w:rsidRDefault="00121D6A" w:rsidP="003D28A5">
            <w:pPr>
              <w:spacing w:before="192"/>
              <w:jc w:val="center"/>
              <w:rPr>
                <w:i w:val="0"/>
                <w:iCs w:val="0"/>
              </w:rPr>
            </w:pPr>
            <w:r w:rsidRPr="000A7502">
              <w:rPr>
                <w:i w:val="0"/>
                <w:iCs w:val="0"/>
              </w:rPr>
              <w:t>NRE</w:t>
            </w:r>
          </w:p>
        </w:tc>
        <w:tc>
          <w:tcPr>
            <w:tcW w:w="1429" w:type="dxa"/>
            <w:tcBorders>
              <w:top w:val="single" w:sz="4" w:space="0" w:color="auto"/>
            </w:tcBorders>
            <w:noWrap/>
            <w:vAlign w:val="bottom"/>
            <w:hideMark/>
          </w:tcPr>
          <w:p w14:paraId="02DBE126"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1097" w:type="dxa"/>
            <w:tcBorders>
              <w:top w:val="single" w:sz="4" w:space="0" w:color="auto"/>
            </w:tcBorders>
            <w:noWrap/>
            <w:vAlign w:val="bottom"/>
            <w:hideMark/>
          </w:tcPr>
          <w:p w14:paraId="4859255A" w14:textId="45F100AD" w:rsidR="00121D6A" w:rsidRPr="004F3DAD" w:rsidRDefault="000A7502">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0</w:t>
            </w:r>
          </w:p>
        </w:tc>
        <w:tc>
          <w:tcPr>
            <w:tcW w:w="1078" w:type="dxa"/>
            <w:tcBorders>
              <w:top w:val="single" w:sz="4" w:space="0" w:color="auto"/>
            </w:tcBorders>
            <w:noWrap/>
            <w:vAlign w:val="bottom"/>
            <w:hideMark/>
          </w:tcPr>
          <w:p w14:paraId="1EFAD088" w14:textId="3739F822"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p>
        </w:tc>
        <w:tc>
          <w:tcPr>
            <w:tcW w:w="2156" w:type="dxa"/>
            <w:tcBorders>
              <w:top w:val="single" w:sz="4" w:space="0" w:color="auto"/>
            </w:tcBorders>
            <w:noWrap/>
            <w:vAlign w:val="bottom"/>
            <w:hideMark/>
          </w:tcPr>
          <w:p w14:paraId="171EABEE"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M$</w:t>
            </w:r>
          </w:p>
        </w:tc>
      </w:tr>
      <w:tr w:rsidR="003D28A5" w:rsidRPr="00E82E41" w14:paraId="555D6612" w14:textId="77777777" w:rsidTr="001C3B1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00" w:type="dxa"/>
            <w:tcBorders>
              <w:right w:val="single" w:sz="4" w:space="0" w:color="auto"/>
            </w:tcBorders>
            <w:noWrap/>
            <w:vAlign w:val="bottom"/>
            <w:hideMark/>
          </w:tcPr>
          <w:p w14:paraId="0917BE0C" w14:textId="16AE0FF6" w:rsidR="00121D6A" w:rsidRPr="000A7502" w:rsidRDefault="00121D6A" w:rsidP="003D28A5">
            <w:pPr>
              <w:spacing w:before="192"/>
              <w:jc w:val="center"/>
              <w:rPr>
                <w:i w:val="0"/>
                <w:iCs w:val="0"/>
              </w:rPr>
            </w:pPr>
            <w:r w:rsidRPr="000A7502">
              <w:rPr>
                <w:i w:val="0"/>
                <w:iCs w:val="0"/>
              </w:rPr>
              <w:t xml:space="preserve">First operational </w:t>
            </w:r>
            <w:r w:rsidR="004F0F73">
              <w:rPr>
                <w:i w:val="0"/>
                <w:iCs w:val="0"/>
              </w:rPr>
              <w:t>network</w:t>
            </w:r>
          </w:p>
        </w:tc>
        <w:tc>
          <w:tcPr>
            <w:tcW w:w="1429" w:type="dxa"/>
            <w:tcBorders>
              <w:left w:val="single" w:sz="4" w:space="0" w:color="auto"/>
              <w:bottom w:val="single" w:sz="4" w:space="0" w:color="auto"/>
            </w:tcBorders>
            <w:noWrap/>
            <w:vAlign w:val="bottom"/>
            <w:hideMark/>
          </w:tcPr>
          <w:p w14:paraId="6EE27712"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 </w:t>
            </w:r>
          </w:p>
        </w:tc>
        <w:tc>
          <w:tcPr>
            <w:tcW w:w="1097" w:type="dxa"/>
            <w:tcBorders>
              <w:bottom w:val="single" w:sz="4" w:space="0" w:color="auto"/>
            </w:tcBorders>
            <w:noWrap/>
            <w:vAlign w:val="bottom"/>
            <w:hideMark/>
          </w:tcPr>
          <w:p w14:paraId="00FEEDE5" w14:textId="620C7FD6" w:rsidR="00121D6A" w:rsidRPr="004F3DAD" w:rsidRDefault="000A7502">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700</w:t>
            </w:r>
          </w:p>
        </w:tc>
        <w:tc>
          <w:tcPr>
            <w:tcW w:w="1078" w:type="dxa"/>
            <w:tcBorders>
              <w:bottom w:val="single" w:sz="4" w:space="0" w:color="auto"/>
            </w:tcBorders>
            <w:noWrap/>
            <w:vAlign w:val="bottom"/>
            <w:hideMark/>
          </w:tcPr>
          <w:p w14:paraId="4EF92383" w14:textId="135FECCF"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p>
        </w:tc>
        <w:tc>
          <w:tcPr>
            <w:tcW w:w="2156" w:type="dxa"/>
            <w:noWrap/>
            <w:vAlign w:val="bottom"/>
            <w:hideMark/>
          </w:tcPr>
          <w:p w14:paraId="46D430B5" w14:textId="77777777" w:rsidR="00121D6A" w:rsidRPr="004F3DAD" w:rsidRDefault="00121D6A">
            <w:pPr>
              <w:spacing w:before="192"/>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4F3DAD">
              <w:rPr>
                <w:rFonts w:eastAsiaTheme="majorEastAsia" w:cstheme="majorBidi"/>
              </w:rPr>
              <w:t>M$</w:t>
            </w:r>
          </w:p>
        </w:tc>
      </w:tr>
      <w:tr w:rsidR="00DA6A6E" w:rsidRPr="00E82E41" w14:paraId="4AE690E8" w14:textId="77777777" w:rsidTr="001C3B1B">
        <w:trPr>
          <w:trHeight w:val="320"/>
        </w:trPr>
        <w:tc>
          <w:tcPr>
            <w:cnfStyle w:val="001000000000" w:firstRow="0" w:lastRow="0" w:firstColumn="1" w:lastColumn="0" w:oddVBand="0" w:evenVBand="0" w:oddHBand="0" w:evenHBand="0" w:firstRowFirstColumn="0" w:firstRowLastColumn="0" w:lastRowFirstColumn="0" w:lastRowLastColumn="0"/>
            <w:tcW w:w="3600" w:type="dxa"/>
            <w:tcBorders>
              <w:bottom w:val="single" w:sz="4" w:space="0" w:color="auto"/>
            </w:tcBorders>
            <w:noWrap/>
            <w:vAlign w:val="bottom"/>
            <w:hideMark/>
          </w:tcPr>
          <w:p w14:paraId="7B21A3F7" w14:textId="77777777" w:rsidR="00121D6A" w:rsidRPr="00E672D4" w:rsidRDefault="00121D6A" w:rsidP="003D28A5">
            <w:pPr>
              <w:spacing w:before="192"/>
              <w:jc w:val="center"/>
              <w:rPr>
                <w:b/>
                <w:bCs/>
                <w:i w:val="0"/>
                <w:iCs w:val="0"/>
              </w:rPr>
            </w:pPr>
            <w:r w:rsidRPr="00E672D4">
              <w:rPr>
                <w:b/>
                <w:bCs/>
                <w:i w:val="0"/>
                <w:iCs w:val="0"/>
              </w:rPr>
              <w:t>Up-front cost</w:t>
            </w:r>
          </w:p>
        </w:tc>
        <w:tc>
          <w:tcPr>
            <w:tcW w:w="1429" w:type="dxa"/>
            <w:tcBorders>
              <w:top w:val="single" w:sz="4" w:space="0" w:color="auto"/>
              <w:bottom w:val="single" w:sz="4" w:space="0" w:color="auto"/>
            </w:tcBorders>
            <w:noWrap/>
            <w:vAlign w:val="bottom"/>
            <w:hideMark/>
          </w:tcPr>
          <w:p w14:paraId="549C3C5B"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 </w:t>
            </w:r>
          </w:p>
        </w:tc>
        <w:tc>
          <w:tcPr>
            <w:tcW w:w="1097" w:type="dxa"/>
            <w:tcBorders>
              <w:top w:val="single" w:sz="4" w:space="0" w:color="auto"/>
              <w:bottom w:val="single" w:sz="4" w:space="0" w:color="auto"/>
            </w:tcBorders>
            <w:noWrap/>
            <w:vAlign w:val="bottom"/>
            <w:hideMark/>
          </w:tcPr>
          <w:p w14:paraId="08C4520B"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 </w:t>
            </w:r>
          </w:p>
        </w:tc>
        <w:tc>
          <w:tcPr>
            <w:tcW w:w="1078" w:type="dxa"/>
            <w:tcBorders>
              <w:top w:val="single" w:sz="4" w:space="0" w:color="auto"/>
              <w:bottom w:val="single" w:sz="4" w:space="0" w:color="auto"/>
            </w:tcBorders>
            <w:noWrap/>
            <w:vAlign w:val="bottom"/>
            <w:hideMark/>
          </w:tcPr>
          <w:p w14:paraId="6E8C2172"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700</w:t>
            </w:r>
          </w:p>
        </w:tc>
        <w:tc>
          <w:tcPr>
            <w:tcW w:w="2156" w:type="dxa"/>
            <w:tcBorders>
              <w:bottom w:val="single" w:sz="4" w:space="0" w:color="auto"/>
            </w:tcBorders>
            <w:noWrap/>
            <w:vAlign w:val="bottom"/>
            <w:hideMark/>
          </w:tcPr>
          <w:p w14:paraId="10EC0E20" w14:textId="77777777" w:rsidR="00121D6A" w:rsidRPr="004F3DAD" w:rsidRDefault="00121D6A">
            <w:pPr>
              <w:spacing w:before="192"/>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rPr>
            </w:pPr>
            <w:r w:rsidRPr="004F3DAD">
              <w:rPr>
                <w:rFonts w:eastAsiaTheme="majorEastAsia" w:cstheme="majorBidi"/>
              </w:rPr>
              <w:t>M$</w:t>
            </w:r>
          </w:p>
        </w:tc>
      </w:tr>
    </w:tbl>
    <w:p w14:paraId="2306E9E8" w14:textId="77777777" w:rsidR="00121D6A" w:rsidRPr="002200B4" w:rsidRDefault="00121D6A" w:rsidP="002200B4"/>
    <w:p w14:paraId="295613D0" w14:textId="2A8249EA" w:rsidR="004D54C4" w:rsidRDefault="004D54C4" w:rsidP="00020860">
      <w:pPr>
        <w:pStyle w:val="appendix-header"/>
      </w:pPr>
      <w:bookmarkStart w:id="34" w:name="_Toc192166322"/>
      <w:r>
        <w:lastRenderedPageBreak/>
        <w:t>Appendix</w:t>
      </w:r>
      <w:r w:rsidR="00020860">
        <w:t xml:space="preserve"> </w:t>
      </w:r>
      <w:r w:rsidR="00236178">
        <w:t>B</w:t>
      </w:r>
      <w:r w:rsidR="00020860">
        <w:t>:</w:t>
      </w:r>
      <w:r>
        <w:t xml:space="preserve"> </w:t>
      </w:r>
      <w:r w:rsidR="007E3853">
        <w:t>Simulation Framework</w:t>
      </w:r>
      <w:bookmarkEnd w:id="34"/>
    </w:p>
    <w:p w14:paraId="1F6D9324" w14:textId="60AAC84F" w:rsidR="007E3853" w:rsidRDefault="00034450" w:rsidP="00034450">
      <w:r>
        <w:t xml:space="preserve">As described in the main text, </w:t>
      </w:r>
      <w:r w:rsidR="0077385D">
        <w:t xml:space="preserve">the simulation modeling here is built on the code used in the Phase 2 report. </w:t>
      </w:r>
      <w:r w:rsidR="00D74958">
        <w:t xml:space="preserve">Interested readers are referred to </w:t>
      </w:r>
      <w:sdt>
        <w:sdtPr>
          <w:id w:val="631991307"/>
          <w:citation/>
        </w:sdtPr>
        <w:sdtEndPr/>
        <w:sdtContent>
          <w:r w:rsidR="00D74958">
            <w:fldChar w:fldCharType="begin"/>
          </w:r>
          <w:r w:rsidR="00D74958">
            <w:instrText xml:space="preserve"> CITATION Loc24 \l 1033 </w:instrText>
          </w:r>
          <w:r w:rsidR="00D74958">
            <w:fldChar w:fldCharType="separate"/>
          </w:r>
          <w:r w:rsidR="00A466B0">
            <w:rPr>
              <w:noProof/>
            </w:rPr>
            <w:t>(Locke, et al. 2024)</w:t>
          </w:r>
          <w:r w:rsidR="00D74958">
            <w:fldChar w:fldCharType="end"/>
          </w:r>
        </w:sdtContent>
      </w:sdt>
      <w:r w:rsidR="00D74958">
        <w:t xml:space="preserve"> for technical details. </w:t>
      </w:r>
      <w:r w:rsidR="00A03BD9">
        <w:t>The only major change is that we loop over individual years rather than simulate multiple years at once, allowing us to capture higher</w:t>
      </w:r>
      <w:r w:rsidR="004758FA">
        <w:t>-order effects as repeated applications of first-order effects.</w:t>
      </w:r>
      <w:r w:rsidR="00763C99">
        <w:t xml:space="preserve"> </w:t>
      </w:r>
      <w:r w:rsidR="00D74958">
        <w:t>Here we describe the mechanics of constructing portfolios of actions.</w:t>
      </w:r>
      <w:r w:rsidR="00A4519A">
        <w:t xml:space="preserve"> While the final set of actions used </w:t>
      </w:r>
      <w:r w:rsidR="004502A6">
        <w:t xml:space="preserve">is </w:t>
      </w:r>
      <w:r w:rsidR="006A00D2">
        <w:t xml:space="preserve">relatively small, the portfolio construction methodology described below can scale to much larger sets of actions </w:t>
      </w:r>
      <w:r w:rsidR="002B101A">
        <w:t>if</w:t>
      </w:r>
      <w:r w:rsidR="006A00D2">
        <w:t xml:space="preserve"> compute time is available to run them.</w:t>
      </w:r>
    </w:p>
    <w:p w14:paraId="328710F8" w14:textId="2BB78DE8" w:rsidR="00E47B6B" w:rsidRDefault="00E47B6B" w:rsidP="00581647">
      <w:pPr>
        <w:ind w:firstLine="360"/>
      </w:pPr>
      <w:r>
        <w:t xml:space="preserve">We decompose the problem of finding the </w:t>
      </w:r>
      <w:r w:rsidR="007D7D43">
        <w:t>efficient</w:t>
      </w:r>
      <w:r>
        <w:t xml:space="preserve"> portfolio of space sustainability actions into two stages. In stage 2, we use the framework developed in the Phase 2 report to measure the benefits (i.e., changes in financial consequences to space operators</w:t>
      </w:r>
      <w:r w:rsidRPr="00AF550D">
        <w:t xml:space="preserve"> </w:t>
      </w:r>
      <w:r>
        <w:t xml:space="preserve">due to close approaches, maneuvers to reduce risks, and mission-ending collisions with currently untracked debris) of a single portfolio of space sustainability actions. Actions in the portfolio are deployed per their assumed development and deployment time. This generates a time series of benefits to space operators from the analyzed portfolio. We repeat this step for each portfolio under consideration. In stage 1, we discount the benefits of each portfolio back to time 0, apply the discounted development and running costs, and construct the NPVs of each portfolio. Identifying the </w:t>
      </w:r>
      <w:r w:rsidR="007D7D43">
        <w:t>efficient</w:t>
      </w:r>
      <w:r>
        <w:t xml:space="preserve"> portfolio is then simply a matter of ranking portfolios by their NPVs and selecting the one with the largest value.</w:t>
      </w:r>
      <w:r w:rsidR="007A4D22">
        <w:t xml:space="preserve"> The </w:t>
      </w:r>
      <w:r w:rsidR="003C3B9C">
        <w:t>stage 2 process is pleasingly parallel</w:t>
      </w:r>
      <w:r w:rsidR="000F5461">
        <w:t xml:space="preserve"> and where the bulk of compute time occurs</w:t>
      </w:r>
      <w:r w:rsidR="007212F5">
        <w:t>.</w:t>
      </w:r>
      <w:r w:rsidR="000F5461">
        <w:t xml:space="preserve"> </w:t>
      </w:r>
      <w:r w:rsidR="007212F5">
        <w:t>T</w:t>
      </w:r>
      <w:r w:rsidR="000F5461">
        <w:t xml:space="preserve">he stage 1 process could </w:t>
      </w:r>
      <w:r w:rsidR="00111F98">
        <w:t xml:space="preserve">similarly </w:t>
      </w:r>
      <w:r w:rsidR="000F5461">
        <w:t xml:space="preserve">be parallelized but </w:t>
      </w:r>
      <w:r w:rsidR="00111F98">
        <w:t xml:space="preserve">is </w:t>
      </w:r>
      <w:r w:rsidR="00FF6868">
        <w:t>reasonably quick to run in serial when the total number of portfolios to analyze is not “too large”.</w:t>
      </w:r>
    </w:p>
    <w:p w14:paraId="4F0B58FA" w14:textId="77777777" w:rsidR="0044013F" w:rsidRPr="00D56D86" w:rsidRDefault="0044013F" w:rsidP="0044013F">
      <w:pPr>
        <w:pStyle w:val="Heading2"/>
      </w:pPr>
      <w:bookmarkStart w:id="35" w:name="_Toc192166323"/>
      <w:r>
        <w:t>Constructing the set of admissible portfolios</w:t>
      </w:r>
      <w:bookmarkEnd w:id="35"/>
    </w:p>
    <w:p w14:paraId="0161528E" w14:textId="77777777" w:rsidR="0044013F" w:rsidRDefault="0044013F" w:rsidP="0044013F">
      <w:r>
        <w:t>To identify portfolios for analysis, we constructed a taxonomy of actions that could be combined. The taxonomy classifies actions at three levels:</w:t>
      </w:r>
    </w:p>
    <w:p w14:paraId="0DA8BC00" w14:textId="77777777" w:rsidR="0044013F" w:rsidRDefault="0044013F" w:rsidP="0044013F">
      <w:pPr>
        <w:pStyle w:val="ListParagraph"/>
        <w:numPr>
          <w:ilvl w:val="0"/>
          <w:numId w:val="27"/>
        </w:numPr>
      </w:pPr>
      <w:r>
        <w:t xml:space="preserve">The </w:t>
      </w:r>
      <w:r w:rsidRPr="002F59B4">
        <w:rPr>
          <w:b/>
          <w:bCs/>
        </w:rPr>
        <w:t>category</w:t>
      </w:r>
      <w:r>
        <w:t>, which is one of “mitigation”, “remediation”, and “tracking”. This level is useful for analyst interpretation but does not mechanically affect the portfolio construction.</w:t>
      </w:r>
    </w:p>
    <w:p w14:paraId="1D40F823" w14:textId="77777777" w:rsidR="0044013F" w:rsidRDefault="0044013F" w:rsidP="0044013F">
      <w:pPr>
        <w:pStyle w:val="ListParagraph"/>
        <w:numPr>
          <w:ilvl w:val="0"/>
          <w:numId w:val="27"/>
        </w:numPr>
      </w:pPr>
      <w:r>
        <w:t xml:space="preserve">The </w:t>
      </w:r>
      <w:r w:rsidRPr="002F59B4">
        <w:rPr>
          <w:b/>
          <w:bCs/>
        </w:rPr>
        <w:t>approach</w:t>
      </w:r>
      <w:r>
        <w:t>, which includes high-level approaches like “</w:t>
      </w:r>
      <w:r w:rsidRPr="00E31FE0">
        <w:t>post-mission disposal</w:t>
      </w:r>
      <w:r>
        <w:t>”</w:t>
      </w:r>
      <w:r w:rsidRPr="00E31FE0">
        <w:t xml:space="preserve">, </w:t>
      </w:r>
      <w:r>
        <w:t>“</w:t>
      </w:r>
      <w:r w:rsidRPr="00E31FE0">
        <w:t>grab and remove</w:t>
      </w:r>
      <w:r>
        <w:t>”</w:t>
      </w:r>
      <w:r w:rsidRPr="00E31FE0">
        <w:t xml:space="preserve">, </w:t>
      </w:r>
      <w:r>
        <w:t>“</w:t>
      </w:r>
      <w:r w:rsidRPr="00E31FE0">
        <w:t>improved characterization</w:t>
      </w:r>
      <w:r>
        <w:t>”. At this level, all actions are distinct and can be considered separately or in tandem.</w:t>
      </w:r>
    </w:p>
    <w:p w14:paraId="607C152A" w14:textId="77777777" w:rsidR="0044013F" w:rsidRDefault="0044013F" w:rsidP="0044013F">
      <w:pPr>
        <w:pStyle w:val="ListParagraph"/>
        <w:numPr>
          <w:ilvl w:val="0"/>
          <w:numId w:val="27"/>
        </w:numPr>
      </w:pPr>
      <w:r>
        <w:t xml:space="preserve">The </w:t>
      </w:r>
      <w:r w:rsidRPr="002F59B4">
        <w:rPr>
          <w:b/>
          <w:bCs/>
        </w:rPr>
        <w:t>type</w:t>
      </w:r>
      <w:r>
        <w:t xml:space="preserve">, which specifies details like “propulsive post-mission disposal within 5 years of the end of mission”, “grab and remove 50 largest objects with controlled re-entry”, “deployment of radar systems to track debris 1 cm and larger”. At this level, actions </w:t>
      </w:r>
      <w:r>
        <w:lastRenderedPageBreak/>
        <w:t>may have overlap or be mutually exclusive. For example, “propulsive post-mission disposal within 5 years of the end of mission” and “propulsive post-mission disposal within 10 years of the end of mission” are both types of post-mission disposal, but one encompasses the other. Similarly, “grab and remove 50 largest objects with controlled re-entry” and “grab and remove 50 largest objects with uncontrolled re-entry” are mutually exclusive.</w:t>
      </w:r>
    </w:p>
    <w:p w14:paraId="1344E888" w14:textId="77777777" w:rsidR="0044013F" w:rsidRDefault="0044013F" w:rsidP="00581647">
      <w:pPr>
        <w:ind w:firstLine="360"/>
      </w:pPr>
      <w:r>
        <w:t>Where actions can be applied to a set of satellites, they are applied to all satellites in that set uniformly. Actions like post-mission disposal are therefore applied to all satellites, and actions like grab and remove are applied to the same satellites.</w:t>
      </w:r>
    </w:p>
    <w:p w14:paraId="1FF3F26C" w14:textId="31F026EF" w:rsidR="00B1195B" w:rsidRDefault="0044013F" w:rsidP="00581647">
      <w:pPr>
        <w:ind w:firstLine="360"/>
      </w:pPr>
      <w:r>
        <w:t>Actions are combined across the approach level, but not across the type level. So, it is possible to construct a portfolio that combines “propulsive post-mission disposal within 5 years of the end of mission” and “deployment of radar systems to track debris 1 cm and larger”, but not a portfolio that combines “propulsive post-mission disposal within 5 years of the end of mission” and “propulsive post-mission disposal within 10 years of the end of mission”. This modeling choice is a logical consequence of uniformly applying actions to satellites. It sacrifices fidelity for tractability: while it is possible that there are worthwhile combinations of actions at the type level (e.g., “grab and remove these 22 satellites with controlled re-entry and those 28 satellites with uncontrolled re-entry” may dominate using solely controlled or uncontrolled re-entry for all 50), considering portfolios of actions at the individual satellite level explodes the search space for the stage 2 calculation.</w:t>
      </w:r>
      <w:r w:rsidR="006F2675">
        <w:t xml:space="preserve"> However, it is technically feasible</w:t>
      </w:r>
      <w:r w:rsidR="00F55236">
        <w:t xml:space="preserve"> to </w:t>
      </w:r>
      <w:r w:rsidR="002D7292">
        <w:t xml:space="preserve">consider such optimization over architecture design provided compute time is available. Since we did not have </w:t>
      </w:r>
      <w:r w:rsidR="00E477F8">
        <w:t xml:space="preserve">such resources for this analysis, we </w:t>
      </w:r>
      <w:r w:rsidR="00AF0E26">
        <w:t>focused on a more limited set of actions.</w:t>
      </w:r>
      <w:r w:rsidR="00B1195B">
        <w:br w:type="page"/>
      </w:r>
    </w:p>
    <w:p w14:paraId="4EA8715C" w14:textId="31CF0922" w:rsidR="00163EE2" w:rsidRDefault="00163EE2" w:rsidP="00163EE2">
      <w:pPr>
        <w:pStyle w:val="appendix-header"/>
      </w:pPr>
      <w:bookmarkStart w:id="36" w:name="_Toc192166324"/>
      <w:r>
        <w:lastRenderedPageBreak/>
        <w:t xml:space="preserve">Appendix </w:t>
      </w:r>
      <w:r w:rsidR="00441BB0">
        <w:t>C</w:t>
      </w:r>
      <w:r>
        <w:t>: Acronyms</w:t>
      </w:r>
      <w:bookmarkEnd w:id="36"/>
    </w:p>
    <w:tbl>
      <w:tblPr>
        <w:tblStyle w:val="OTPSPlain"/>
        <w:tblW w:w="0" w:type="auto"/>
        <w:tblLook w:val="06A0" w:firstRow="1" w:lastRow="0" w:firstColumn="1" w:lastColumn="0" w:noHBand="1" w:noVBand="1"/>
      </w:tblPr>
      <w:tblGrid>
        <w:gridCol w:w="2160"/>
        <w:gridCol w:w="7200"/>
      </w:tblGrid>
      <w:tr w:rsidR="00163EE2" w14:paraId="7BBBA9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F11A9F8" w14:textId="77777777" w:rsidR="00163EE2" w:rsidRDefault="00163EE2">
            <w:pPr>
              <w:spacing w:before="192"/>
              <w:jc w:val="left"/>
            </w:pPr>
            <w:r>
              <w:t>Acronym</w:t>
            </w:r>
          </w:p>
        </w:tc>
        <w:tc>
          <w:tcPr>
            <w:tcW w:w="7200" w:type="dxa"/>
          </w:tcPr>
          <w:p w14:paraId="53B256E0" w14:textId="77777777" w:rsidR="00163EE2" w:rsidRDefault="00163EE2">
            <w:pPr>
              <w:spacing w:before="192"/>
              <w:jc w:val="left"/>
              <w:cnfStyle w:val="100000000000" w:firstRow="1" w:lastRow="0" w:firstColumn="0" w:lastColumn="0" w:oddVBand="0" w:evenVBand="0" w:oddHBand="0" w:evenHBand="0" w:firstRowFirstColumn="0" w:firstRowLastColumn="0" w:lastRowFirstColumn="0" w:lastRowLastColumn="0"/>
            </w:pPr>
            <w:r>
              <w:t>Definition</w:t>
            </w:r>
          </w:p>
        </w:tc>
      </w:tr>
      <w:tr w:rsidR="00163EE2" w14:paraId="7D2962E3" w14:textId="77777777">
        <w:tc>
          <w:tcPr>
            <w:cnfStyle w:val="001000000000" w:firstRow="0" w:lastRow="0" w:firstColumn="1" w:lastColumn="0" w:oddVBand="0" w:evenVBand="0" w:oddHBand="0" w:evenHBand="0" w:firstRowFirstColumn="0" w:firstRowLastColumn="0" w:lastRowFirstColumn="0" w:lastRowLastColumn="0"/>
            <w:tcW w:w="2160" w:type="dxa"/>
          </w:tcPr>
          <w:p w14:paraId="6968B3E0" w14:textId="77777777" w:rsidR="00163EE2" w:rsidRDefault="00163EE2">
            <w:r>
              <w:t>NASA</w:t>
            </w:r>
          </w:p>
        </w:tc>
        <w:tc>
          <w:tcPr>
            <w:tcW w:w="7200" w:type="dxa"/>
          </w:tcPr>
          <w:p w14:paraId="70C97F66" w14:textId="77777777" w:rsidR="00163EE2" w:rsidRDefault="00163EE2" w:rsidP="00441BB0">
            <w:pPr>
              <w:jc w:val="left"/>
              <w:cnfStyle w:val="000000000000" w:firstRow="0" w:lastRow="0" w:firstColumn="0" w:lastColumn="0" w:oddVBand="0" w:evenVBand="0" w:oddHBand="0" w:evenHBand="0" w:firstRowFirstColumn="0" w:firstRowLastColumn="0" w:lastRowFirstColumn="0" w:lastRowLastColumn="0"/>
            </w:pPr>
            <w:r>
              <w:t>National Aeronautics and Space Administration</w:t>
            </w:r>
          </w:p>
        </w:tc>
      </w:tr>
      <w:tr w:rsidR="00441BB0" w14:paraId="7F31E06A" w14:textId="77777777">
        <w:tc>
          <w:tcPr>
            <w:cnfStyle w:val="001000000000" w:firstRow="0" w:lastRow="0" w:firstColumn="1" w:lastColumn="0" w:oddVBand="0" w:evenVBand="0" w:oddHBand="0" w:evenHBand="0" w:firstRowFirstColumn="0" w:firstRowLastColumn="0" w:lastRowFirstColumn="0" w:lastRowLastColumn="0"/>
            <w:tcW w:w="2160" w:type="dxa"/>
          </w:tcPr>
          <w:p w14:paraId="7EBE5AF2" w14:textId="316F29FC" w:rsidR="00441BB0" w:rsidRDefault="00441BB0">
            <w:r>
              <w:t>ESA</w:t>
            </w:r>
          </w:p>
        </w:tc>
        <w:tc>
          <w:tcPr>
            <w:tcW w:w="7200" w:type="dxa"/>
          </w:tcPr>
          <w:p w14:paraId="67B3FE5B" w14:textId="4CF860CB" w:rsidR="00441BB0" w:rsidRDefault="00441BB0" w:rsidP="00441BB0">
            <w:pPr>
              <w:jc w:val="left"/>
              <w:cnfStyle w:val="000000000000" w:firstRow="0" w:lastRow="0" w:firstColumn="0" w:lastColumn="0" w:oddVBand="0" w:evenVBand="0" w:oddHBand="0" w:evenHBand="0" w:firstRowFirstColumn="0" w:firstRowLastColumn="0" w:lastRowFirstColumn="0" w:lastRowLastColumn="0"/>
            </w:pPr>
            <w:r>
              <w:t>European Space Agency</w:t>
            </w:r>
          </w:p>
        </w:tc>
      </w:tr>
      <w:tr w:rsidR="00441BB0" w14:paraId="1B612045" w14:textId="77777777">
        <w:tc>
          <w:tcPr>
            <w:cnfStyle w:val="001000000000" w:firstRow="0" w:lastRow="0" w:firstColumn="1" w:lastColumn="0" w:oddVBand="0" w:evenVBand="0" w:oddHBand="0" w:evenHBand="0" w:firstRowFirstColumn="0" w:firstRowLastColumn="0" w:lastRowFirstColumn="0" w:lastRowLastColumn="0"/>
            <w:tcW w:w="2160" w:type="dxa"/>
          </w:tcPr>
          <w:p w14:paraId="4507A29F" w14:textId="78622DD9" w:rsidR="00441BB0" w:rsidRDefault="00441BB0">
            <w:r>
              <w:t>OMB</w:t>
            </w:r>
          </w:p>
        </w:tc>
        <w:tc>
          <w:tcPr>
            <w:tcW w:w="7200" w:type="dxa"/>
          </w:tcPr>
          <w:p w14:paraId="50F67E89" w14:textId="7BFC4F05" w:rsidR="00441BB0" w:rsidRDefault="00441BB0" w:rsidP="00441BB0">
            <w:pPr>
              <w:jc w:val="left"/>
              <w:cnfStyle w:val="000000000000" w:firstRow="0" w:lastRow="0" w:firstColumn="0" w:lastColumn="0" w:oddVBand="0" w:evenVBand="0" w:oddHBand="0" w:evenHBand="0" w:firstRowFirstColumn="0" w:firstRowLastColumn="0" w:lastRowFirstColumn="0" w:lastRowLastColumn="0"/>
            </w:pPr>
            <w:r>
              <w:t>Office of Management and Budget</w:t>
            </w:r>
          </w:p>
        </w:tc>
      </w:tr>
      <w:tr w:rsidR="00163EE2" w14:paraId="37427332" w14:textId="77777777">
        <w:tc>
          <w:tcPr>
            <w:cnfStyle w:val="001000000000" w:firstRow="0" w:lastRow="0" w:firstColumn="1" w:lastColumn="0" w:oddVBand="0" w:evenVBand="0" w:oddHBand="0" w:evenHBand="0" w:firstRowFirstColumn="0" w:firstRowLastColumn="0" w:lastRowFirstColumn="0" w:lastRowLastColumn="0"/>
            <w:tcW w:w="2160" w:type="dxa"/>
          </w:tcPr>
          <w:p w14:paraId="37C3A1F7" w14:textId="77777777" w:rsidR="00163EE2" w:rsidRDefault="00163EE2">
            <w:r>
              <w:t>OTPS</w:t>
            </w:r>
          </w:p>
        </w:tc>
        <w:tc>
          <w:tcPr>
            <w:tcW w:w="7200" w:type="dxa"/>
          </w:tcPr>
          <w:p w14:paraId="6729522D" w14:textId="77777777" w:rsidR="00163EE2" w:rsidRDefault="00163EE2" w:rsidP="00441BB0">
            <w:pPr>
              <w:jc w:val="left"/>
              <w:cnfStyle w:val="000000000000" w:firstRow="0" w:lastRow="0" w:firstColumn="0" w:lastColumn="0" w:oddVBand="0" w:evenVBand="0" w:oddHBand="0" w:evenHBand="0" w:firstRowFirstColumn="0" w:firstRowLastColumn="0" w:lastRowFirstColumn="0" w:lastRowLastColumn="0"/>
            </w:pPr>
            <w:r>
              <w:t xml:space="preserve">Office of Technology Policy, and Strategy </w:t>
            </w:r>
          </w:p>
        </w:tc>
      </w:tr>
      <w:tr w:rsidR="00441BB0" w14:paraId="457B3B39" w14:textId="77777777">
        <w:tc>
          <w:tcPr>
            <w:cnfStyle w:val="001000000000" w:firstRow="0" w:lastRow="0" w:firstColumn="1" w:lastColumn="0" w:oddVBand="0" w:evenVBand="0" w:oddHBand="0" w:evenHBand="0" w:firstRowFirstColumn="0" w:firstRowLastColumn="0" w:lastRowFirstColumn="0" w:lastRowLastColumn="0"/>
            <w:tcW w:w="2160" w:type="dxa"/>
          </w:tcPr>
          <w:p w14:paraId="5ED38825" w14:textId="2A718628" w:rsidR="00441BB0" w:rsidRDefault="00441BB0">
            <w:r>
              <w:t>PV</w:t>
            </w:r>
          </w:p>
        </w:tc>
        <w:tc>
          <w:tcPr>
            <w:tcW w:w="7200" w:type="dxa"/>
          </w:tcPr>
          <w:p w14:paraId="741ADC1D" w14:textId="458BFA29" w:rsidR="00441BB0" w:rsidRDefault="00441BB0" w:rsidP="00441BB0">
            <w:pPr>
              <w:jc w:val="left"/>
              <w:cnfStyle w:val="000000000000" w:firstRow="0" w:lastRow="0" w:firstColumn="0" w:lastColumn="0" w:oddVBand="0" w:evenVBand="0" w:oddHBand="0" w:evenHBand="0" w:firstRowFirstColumn="0" w:firstRowLastColumn="0" w:lastRowFirstColumn="0" w:lastRowLastColumn="0"/>
            </w:pPr>
            <w:r>
              <w:t>Present Value</w:t>
            </w:r>
          </w:p>
        </w:tc>
      </w:tr>
      <w:tr w:rsidR="00441BB0" w14:paraId="5030C971" w14:textId="77777777">
        <w:tc>
          <w:tcPr>
            <w:cnfStyle w:val="001000000000" w:firstRow="0" w:lastRow="0" w:firstColumn="1" w:lastColumn="0" w:oddVBand="0" w:evenVBand="0" w:oddHBand="0" w:evenHBand="0" w:firstRowFirstColumn="0" w:firstRowLastColumn="0" w:lastRowFirstColumn="0" w:lastRowLastColumn="0"/>
            <w:tcW w:w="2160" w:type="dxa"/>
          </w:tcPr>
          <w:p w14:paraId="75FD653E" w14:textId="191B707D" w:rsidR="00441BB0" w:rsidRDefault="00441BB0">
            <w:r>
              <w:t>NPV</w:t>
            </w:r>
          </w:p>
        </w:tc>
        <w:tc>
          <w:tcPr>
            <w:tcW w:w="7200" w:type="dxa"/>
          </w:tcPr>
          <w:p w14:paraId="1521E3E7" w14:textId="59FA9A2A" w:rsidR="00441BB0" w:rsidRDefault="00441BB0" w:rsidP="00441BB0">
            <w:pPr>
              <w:jc w:val="left"/>
              <w:cnfStyle w:val="000000000000" w:firstRow="0" w:lastRow="0" w:firstColumn="0" w:lastColumn="0" w:oddVBand="0" w:evenVBand="0" w:oddHBand="0" w:evenHBand="0" w:firstRowFirstColumn="0" w:firstRowLastColumn="0" w:lastRowFirstColumn="0" w:lastRowLastColumn="0"/>
            </w:pPr>
            <w:r>
              <w:t>Net Present Value</w:t>
            </w:r>
          </w:p>
        </w:tc>
      </w:tr>
      <w:tr w:rsidR="00441BB0" w14:paraId="6E6F1A2E" w14:textId="77777777">
        <w:tc>
          <w:tcPr>
            <w:cnfStyle w:val="001000000000" w:firstRow="0" w:lastRow="0" w:firstColumn="1" w:lastColumn="0" w:oddVBand="0" w:evenVBand="0" w:oddHBand="0" w:evenHBand="0" w:firstRowFirstColumn="0" w:firstRowLastColumn="0" w:lastRowFirstColumn="0" w:lastRowLastColumn="0"/>
            <w:tcW w:w="2160" w:type="dxa"/>
          </w:tcPr>
          <w:p w14:paraId="643B4054" w14:textId="0FBCAE65" w:rsidR="00441BB0" w:rsidRDefault="00441BB0">
            <w:r>
              <w:t>PMD</w:t>
            </w:r>
          </w:p>
        </w:tc>
        <w:tc>
          <w:tcPr>
            <w:tcW w:w="7200" w:type="dxa"/>
          </w:tcPr>
          <w:p w14:paraId="501FC901" w14:textId="4A2CA8BB" w:rsidR="00441BB0" w:rsidRDefault="00441BB0" w:rsidP="00441BB0">
            <w:pPr>
              <w:jc w:val="left"/>
              <w:cnfStyle w:val="000000000000" w:firstRow="0" w:lastRow="0" w:firstColumn="0" w:lastColumn="0" w:oddVBand="0" w:evenVBand="0" w:oddHBand="0" w:evenHBand="0" w:firstRowFirstColumn="0" w:firstRowLastColumn="0" w:lastRowFirstColumn="0" w:lastRowLastColumn="0"/>
            </w:pPr>
            <w:r>
              <w:t>Post-Mission Disposal</w:t>
            </w:r>
          </w:p>
        </w:tc>
      </w:tr>
      <w:tr w:rsidR="00441BB0" w14:paraId="54E26DEC" w14:textId="77777777">
        <w:tc>
          <w:tcPr>
            <w:cnfStyle w:val="001000000000" w:firstRow="0" w:lastRow="0" w:firstColumn="1" w:lastColumn="0" w:oddVBand="0" w:evenVBand="0" w:oddHBand="0" w:evenHBand="0" w:firstRowFirstColumn="0" w:firstRowLastColumn="0" w:lastRowFirstColumn="0" w:lastRowLastColumn="0"/>
            <w:tcW w:w="2160" w:type="dxa"/>
          </w:tcPr>
          <w:p w14:paraId="1C92FFD5" w14:textId="604D7207" w:rsidR="00441BB0" w:rsidRDefault="00441BB0">
            <w:r>
              <w:t>JCA</w:t>
            </w:r>
          </w:p>
        </w:tc>
        <w:tc>
          <w:tcPr>
            <w:tcW w:w="7200" w:type="dxa"/>
          </w:tcPr>
          <w:p w14:paraId="4E6D5F00" w14:textId="4A41989E" w:rsidR="00441BB0" w:rsidRDefault="00441BB0" w:rsidP="00441BB0">
            <w:pPr>
              <w:jc w:val="left"/>
              <w:cnfStyle w:val="000000000000" w:firstRow="0" w:lastRow="0" w:firstColumn="0" w:lastColumn="0" w:oddVBand="0" w:evenVBand="0" w:oddHBand="0" w:evenHBand="0" w:firstRowFirstColumn="0" w:firstRowLastColumn="0" w:lastRowFirstColumn="0" w:lastRowLastColumn="0"/>
            </w:pPr>
            <w:r>
              <w:t>Just-in-time Collision Avoidance</w:t>
            </w:r>
          </w:p>
        </w:tc>
      </w:tr>
    </w:tbl>
    <w:p w14:paraId="000B5E46" w14:textId="77777777" w:rsidR="004D54C4" w:rsidRDefault="004D54C4" w:rsidP="004D54C4"/>
    <w:p w14:paraId="009128F9" w14:textId="4470E970" w:rsidR="004D54C4" w:rsidRDefault="0038195A" w:rsidP="00020860">
      <w:pPr>
        <w:pStyle w:val="toc-header"/>
      </w:pPr>
      <w:bookmarkStart w:id="37" w:name="_Toc192166325"/>
      <w:r>
        <w:lastRenderedPageBreak/>
        <w:t>References</w:t>
      </w:r>
      <w:bookmarkEnd w:id="37"/>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5"/>
        <w:gridCol w:w="8875"/>
      </w:tblGrid>
      <w:tr w:rsidR="00E674C5" w14:paraId="11AA6F47" w14:textId="77777777" w:rsidTr="00FD29F2">
        <w:trPr>
          <w:tblCellSpacing w:w="15" w:type="dxa"/>
        </w:trPr>
        <w:tc>
          <w:tcPr>
            <w:tcW w:w="50" w:type="pct"/>
            <w:hideMark/>
          </w:tcPr>
          <w:p w14:paraId="33E1D6B7" w14:textId="77777777" w:rsidR="00E674C5" w:rsidRDefault="00E674C5" w:rsidP="00FD29F2">
            <w:pPr>
              <w:pStyle w:val="Bibliography"/>
              <w:rPr>
                <w:noProof/>
                <w:sz w:val="24"/>
              </w:rPr>
            </w:pPr>
            <w:r>
              <w:rPr>
                <w:noProof/>
              </w:rPr>
              <w:t xml:space="preserve">[1] </w:t>
            </w:r>
          </w:p>
        </w:tc>
        <w:tc>
          <w:tcPr>
            <w:tcW w:w="0" w:type="auto"/>
            <w:hideMark/>
          </w:tcPr>
          <w:p w14:paraId="79F6F1E2" w14:textId="77777777" w:rsidR="00E674C5" w:rsidRDefault="00E674C5" w:rsidP="00FD29F2">
            <w:pPr>
              <w:pStyle w:val="Bibliography"/>
              <w:rPr>
                <w:noProof/>
              </w:rPr>
            </w:pPr>
            <w:r>
              <w:rPr>
                <w:noProof/>
              </w:rPr>
              <w:t>T. J. Colvin, J. Karcz and G. Wusk, "Cost and Benefit Analysis of Orbital Debris Remediation," NASA OTPS, Washington, DC, 2023.</w:t>
            </w:r>
          </w:p>
        </w:tc>
      </w:tr>
      <w:tr w:rsidR="00E674C5" w14:paraId="1A6CDEDF" w14:textId="77777777" w:rsidTr="00FD29F2">
        <w:trPr>
          <w:tblCellSpacing w:w="15" w:type="dxa"/>
        </w:trPr>
        <w:tc>
          <w:tcPr>
            <w:tcW w:w="50" w:type="pct"/>
            <w:hideMark/>
          </w:tcPr>
          <w:p w14:paraId="527BBA27" w14:textId="77777777" w:rsidR="00E674C5" w:rsidRDefault="00E674C5" w:rsidP="00FD29F2">
            <w:pPr>
              <w:pStyle w:val="Bibliography"/>
              <w:rPr>
                <w:noProof/>
              </w:rPr>
            </w:pPr>
            <w:r>
              <w:rPr>
                <w:noProof/>
              </w:rPr>
              <w:t xml:space="preserve">[2] </w:t>
            </w:r>
          </w:p>
        </w:tc>
        <w:tc>
          <w:tcPr>
            <w:tcW w:w="0" w:type="auto"/>
            <w:hideMark/>
          </w:tcPr>
          <w:p w14:paraId="6FA14F52" w14:textId="77777777" w:rsidR="00E674C5" w:rsidRDefault="00E674C5" w:rsidP="00FD29F2">
            <w:pPr>
              <w:pStyle w:val="Bibliography"/>
              <w:rPr>
                <w:noProof/>
              </w:rPr>
            </w:pPr>
            <w:r>
              <w:rPr>
                <w:noProof/>
              </w:rPr>
              <w:t>J. Locke, T. J. Colvin, L. Ratliff, A. Abdul-Hamid and C. Samples, "Cost and Benefit Analysis of Mitigating, Tracking, and Remediating Orbital Debris," NASA OTPS, Washington, DC, 2024.</w:t>
            </w:r>
          </w:p>
        </w:tc>
      </w:tr>
      <w:tr w:rsidR="00E674C5" w14:paraId="2DBF14F1" w14:textId="77777777" w:rsidTr="00FD29F2">
        <w:trPr>
          <w:tblCellSpacing w:w="15" w:type="dxa"/>
        </w:trPr>
        <w:tc>
          <w:tcPr>
            <w:tcW w:w="50" w:type="pct"/>
            <w:hideMark/>
          </w:tcPr>
          <w:p w14:paraId="5DAEE202" w14:textId="77777777" w:rsidR="00E674C5" w:rsidRDefault="00E674C5" w:rsidP="00FD29F2">
            <w:pPr>
              <w:pStyle w:val="Bibliography"/>
              <w:rPr>
                <w:noProof/>
              </w:rPr>
            </w:pPr>
            <w:r>
              <w:rPr>
                <w:noProof/>
              </w:rPr>
              <w:t xml:space="preserve">[3] </w:t>
            </w:r>
          </w:p>
        </w:tc>
        <w:tc>
          <w:tcPr>
            <w:tcW w:w="0" w:type="auto"/>
            <w:hideMark/>
          </w:tcPr>
          <w:p w14:paraId="19214E21" w14:textId="77777777" w:rsidR="00E674C5" w:rsidRDefault="00E674C5" w:rsidP="00FD29F2">
            <w:pPr>
              <w:pStyle w:val="Bibliography"/>
              <w:rPr>
                <w:noProof/>
              </w:rPr>
            </w:pPr>
            <w:r>
              <w:rPr>
                <w:noProof/>
              </w:rPr>
              <w:t xml:space="preserve">H. Markowitz, "Portfolio Selection," </w:t>
            </w:r>
            <w:r>
              <w:rPr>
                <w:i/>
                <w:iCs/>
                <w:noProof/>
              </w:rPr>
              <w:t xml:space="preserve">The Journal of Finance, </w:t>
            </w:r>
            <w:r>
              <w:rPr>
                <w:noProof/>
              </w:rPr>
              <w:t xml:space="preserve">vol. 7, no. 1, pp. 77-91, 1952. </w:t>
            </w:r>
          </w:p>
        </w:tc>
      </w:tr>
      <w:tr w:rsidR="00E674C5" w14:paraId="27CCA1DE" w14:textId="77777777" w:rsidTr="00FD29F2">
        <w:trPr>
          <w:tblCellSpacing w:w="15" w:type="dxa"/>
        </w:trPr>
        <w:tc>
          <w:tcPr>
            <w:tcW w:w="50" w:type="pct"/>
            <w:hideMark/>
          </w:tcPr>
          <w:p w14:paraId="169329EF" w14:textId="77777777" w:rsidR="00E674C5" w:rsidRDefault="00E674C5" w:rsidP="00FD29F2">
            <w:pPr>
              <w:pStyle w:val="Bibliography"/>
              <w:rPr>
                <w:noProof/>
              </w:rPr>
            </w:pPr>
            <w:r>
              <w:rPr>
                <w:noProof/>
              </w:rPr>
              <w:t xml:space="preserve">[4] </w:t>
            </w:r>
          </w:p>
        </w:tc>
        <w:tc>
          <w:tcPr>
            <w:tcW w:w="0" w:type="auto"/>
            <w:hideMark/>
          </w:tcPr>
          <w:p w14:paraId="26BC7B22" w14:textId="77777777" w:rsidR="00E674C5" w:rsidRDefault="00E674C5" w:rsidP="00FD29F2">
            <w:pPr>
              <w:pStyle w:val="Bibliography"/>
              <w:rPr>
                <w:noProof/>
              </w:rPr>
            </w:pPr>
            <w:r>
              <w:rPr>
                <w:noProof/>
              </w:rPr>
              <w:t>OMB, "Circular No. A-4," 9 November 2023. [Online]. Available: https://www.whitehouse.gov/wp-content/uploads/2023/11/CircularA-4.pdf. [Accessed 3 January 2025].</w:t>
            </w:r>
          </w:p>
        </w:tc>
      </w:tr>
      <w:tr w:rsidR="00E674C5" w14:paraId="402C7B62" w14:textId="77777777" w:rsidTr="00FD29F2">
        <w:trPr>
          <w:tblCellSpacing w:w="15" w:type="dxa"/>
        </w:trPr>
        <w:tc>
          <w:tcPr>
            <w:tcW w:w="50" w:type="pct"/>
            <w:hideMark/>
          </w:tcPr>
          <w:p w14:paraId="706A854E" w14:textId="77777777" w:rsidR="00E674C5" w:rsidRDefault="00E674C5" w:rsidP="00FD29F2">
            <w:pPr>
              <w:pStyle w:val="Bibliography"/>
              <w:rPr>
                <w:noProof/>
              </w:rPr>
            </w:pPr>
            <w:r>
              <w:rPr>
                <w:noProof/>
              </w:rPr>
              <w:t xml:space="preserve">[5] </w:t>
            </w:r>
          </w:p>
        </w:tc>
        <w:tc>
          <w:tcPr>
            <w:tcW w:w="0" w:type="auto"/>
            <w:hideMark/>
          </w:tcPr>
          <w:p w14:paraId="4189025D" w14:textId="77777777" w:rsidR="00E674C5" w:rsidRDefault="00E674C5" w:rsidP="00FD29F2">
            <w:pPr>
              <w:pStyle w:val="Bibliography"/>
              <w:rPr>
                <w:noProof/>
              </w:rPr>
            </w:pPr>
            <w:r>
              <w:rPr>
                <w:noProof/>
              </w:rPr>
              <w:t>Satellite Industry Association, "COMMERCIAL SATELLITE INDUSTRY CONTINUES HISTORIC GROWTH WHILE DOMINATING GLOBAL SPACE BUSINESS – SIA RELEASES 27TH ANNUAL STATE OF THE SATELLITE INDUSTRY REPORT," Satellite Industry Association, 13 June 2024. [Online]. Available: https://sia.org/commercial-satellite-industry-continues-historic-growth-dominating-global-space-business-27th-annual-state-of-the-satellite-industry-report/. [Accessed 4 January 2025].</w:t>
            </w:r>
          </w:p>
        </w:tc>
      </w:tr>
      <w:tr w:rsidR="00E674C5" w14:paraId="6FF6576B" w14:textId="77777777" w:rsidTr="00FD29F2">
        <w:trPr>
          <w:tblCellSpacing w:w="15" w:type="dxa"/>
        </w:trPr>
        <w:tc>
          <w:tcPr>
            <w:tcW w:w="50" w:type="pct"/>
            <w:hideMark/>
          </w:tcPr>
          <w:p w14:paraId="05863107" w14:textId="77777777" w:rsidR="00E674C5" w:rsidRDefault="00E674C5" w:rsidP="00FD29F2">
            <w:pPr>
              <w:pStyle w:val="Bibliography"/>
              <w:rPr>
                <w:noProof/>
              </w:rPr>
            </w:pPr>
            <w:r>
              <w:rPr>
                <w:noProof/>
              </w:rPr>
              <w:t xml:space="preserve">[6] </w:t>
            </w:r>
          </w:p>
        </w:tc>
        <w:tc>
          <w:tcPr>
            <w:tcW w:w="0" w:type="auto"/>
            <w:hideMark/>
          </w:tcPr>
          <w:p w14:paraId="08138588" w14:textId="77777777" w:rsidR="00E674C5" w:rsidRDefault="00E674C5" w:rsidP="00FD29F2">
            <w:pPr>
              <w:pStyle w:val="Bibliography"/>
              <w:rPr>
                <w:noProof/>
              </w:rPr>
            </w:pPr>
            <w:r>
              <w:rPr>
                <w:noProof/>
              </w:rPr>
              <w:t xml:space="preserve">A. Rao, M. G. Burgess and D. Kaffine, "Orbital-use fees could more than quadruple the value of the space industry," </w:t>
            </w:r>
            <w:r>
              <w:rPr>
                <w:i/>
                <w:iCs/>
                <w:noProof/>
              </w:rPr>
              <w:t xml:space="preserve">Proceedings of the National Academy of Sciences, </w:t>
            </w:r>
            <w:r>
              <w:rPr>
                <w:noProof/>
              </w:rPr>
              <w:t xml:space="preserve">vol. 117, no. 23, pp. 12756-12762, 2020. </w:t>
            </w:r>
          </w:p>
        </w:tc>
      </w:tr>
      <w:tr w:rsidR="00E674C5" w14:paraId="1A5631C1" w14:textId="77777777" w:rsidTr="00FD29F2">
        <w:trPr>
          <w:tblCellSpacing w:w="15" w:type="dxa"/>
        </w:trPr>
        <w:tc>
          <w:tcPr>
            <w:tcW w:w="50" w:type="pct"/>
            <w:hideMark/>
          </w:tcPr>
          <w:p w14:paraId="588499BB" w14:textId="77777777" w:rsidR="00E674C5" w:rsidRDefault="00E674C5" w:rsidP="00FD29F2">
            <w:pPr>
              <w:pStyle w:val="Bibliography"/>
              <w:rPr>
                <w:noProof/>
              </w:rPr>
            </w:pPr>
            <w:r>
              <w:rPr>
                <w:noProof/>
              </w:rPr>
              <w:t xml:space="preserve">[7] </w:t>
            </w:r>
          </w:p>
        </w:tc>
        <w:tc>
          <w:tcPr>
            <w:tcW w:w="0" w:type="auto"/>
            <w:hideMark/>
          </w:tcPr>
          <w:p w14:paraId="720A907E" w14:textId="77777777" w:rsidR="00E674C5" w:rsidRDefault="00E674C5" w:rsidP="00FD29F2">
            <w:pPr>
              <w:pStyle w:val="Bibliography"/>
              <w:rPr>
                <w:noProof/>
              </w:rPr>
            </w:pPr>
            <w:r>
              <w:rPr>
                <w:noProof/>
              </w:rPr>
              <w:t xml:space="preserve">W. Nozawa, K. Kurita, T. Tamaki and S. Managi, "To What Extent Will Space Debris Impact the Economy?," </w:t>
            </w:r>
            <w:r>
              <w:rPr>
                <w:i/>
                <w:iCs/>
                <w:noProof/>
              </w:rPr>
              <w:t xml:space="preserve">Space Policy, </w:t>
            </w:r>
            <w:r>
              <w:rPr>
                <w:noProof/>
              </w:rPr>
              <w:t xml:space="preserve">vol. 66, p. 101580, 2023. </w:t>
            </w:r>
          </w:p>
        </w:tc>
      </w:tr>
      <w:tr w:rsidR="00E674C5" w14:paraId="101094E1" w14:textId="77777777" w:rsidTr="00FD29F2">
        <w:trPr>
          <w:tblCellSpacing w:w="15" w:type="dxa"/>
        </w:trPr>
        <w:tc>
          <w:tcPr>
            <w:tcW w:w="50" w:type="pct"/>
            <w:hideMark/>
          </w:tcPr>
          <w:p w14:paraId="77BF75E1" w14:textId="77777777" w:rsidR="00E674C5" w:rsidRDefault="00E674C5" w:rsidP="00FD29F2">
            <w:pPr>
              <w:pStyle w:val="Bibliography"/>
              <w:rPr>
                <w:noProof/>
              </w:rPr>
            </w:pPr>
            <w:r>
              <w:rPr>
                <w:noProof/>
              </w:rPr>
              <w:t xml:space="preserve">[8] </w:t>
            </w:r>
          </w:p>
        </w:tc>
        <w:tc>
          <w:tcPr>
            <w:tcW w:w="0" w:type="auto"/>
            <w:hideMark/>
          </w:tcPr>
          <w:p w14:paraId="071A1E7F" w14:textId="77777777" w:rsidR="00E674C5" w:rsidRDefault="00E674C5" w:rsidP="00FD29F2">
            <w:pPr>
              <w:pStyle w:val="Bibliography"/>
              <w:rPr>
                <w:noProof/>
              </w:rPr>
            </w:pPr>
            <w:r>
              <w:rPr>
                <w:noProof/>
              </w:rPr>
              <w:t xml:space="preserve">A. Rao, M. Moretto, M. Holzinger, D. Kaffine and B. Weeden, "OPUS: An Integrated Assessment Model for Satellites and Orbital Debris," vol. https://arxiv.org/abs/2309.10252v1, 2023. </w:t>
            </w:r>
          </w:p>
        </w:tc>
      </w:tr>
      <w:tr w:rsidR="00E674C5" w14:paraId="047CC933" w14:textId="77777777" w:rsidTr="00FD29F2">
        <w:trPr>
          <w:tblCellSpacing w:w="15" w:type="dxa"/>
        </w:trPr>
        <w:tc>
          <w:tcPr>
            <w:tcW w:w="50" w:type="pct"/>
            <w:hideMark/>
          </w:tcPr>
          <w:p w14:paraId="672C2BB1" w14:textId="77777777" w:rsidR="00E674C5" w:rsidRDefault="00E674C5" w:rsidP="00FD29F2">
            <w:pPr>
              <w:pStyle w:val="Bibliography"/>
              <w:rPr>
                <w:noProof/>
              </w:rPr>
            </w:pPr>
            <w:r>
              <w:rPr>
                <w:noProof/>
              </w:rPr>
              <w:t xml:space="preserve">[9] </w:t>
            </w:r>
          </w:p>
        </w:tc>
        <w:tc>
          <w:tcPr>
            <w:tcW w:w="0" w:type="auto"/>
            <w:hideMark/>
          </w:tcPr>
          <w:p w14:paraId="249508BC" w14:textId="77777777" w:rsidR="00E674C5" w:rsidRDefault="00E674C5" w:rsidP="00FD29F2">
            <w:pPr>
              <w:pStyle w:val="Bibliography"/>
              <w:rPr>
                <w:noProof/>
              </w:rPr>
            </w:pPr>
            <w:r>
              <w:rPr>
                <w:noProof/>
              </w:rPr>
              <w:t xml:space="preserve">National Aeronautics and Space Administration, "NASA Correspondence Management and Communications Standards and Style," 2006. [Online]. </w:t>
            </w:r>
          </w:p>
        </w:tc>
      </w:tr>
      <w:tr w:rsidR="00E674C5" w14:paraId="178BC653" w14:textId="77777777" w:rsidTr="00FD29F2">
        <w:trPr>
          <w:tblCellSpacing w:w="15" w:type="dxa"/>
        </w:trPr>
        <w:tc>
          <w:tcPr>
            <w:tcW w:w="50" w:type="pct"/>
            <w:hideMark/>
          </w:tcPr>
          <w:p w14:paraId="423F6625" w14:textId="77777777" w:rsidR="00E674C5" w:rsidRDefault="00E674C5" w:rsidP="00FD29F2">
            <w:pPr>
              <w:pStyle w:val="Bibliography"/>
              <w:rPr>
                <w:noProof/>
              </w:rPr>
            </w:pPr>
            <w:r>
              <w:rPr>
                <w:noProof/>
              </w:rPr>
              <w:lastRenderedPageBreak/>
              <w:t xml:space="preserve">[10] </w:t>
            </w:r>
          </w:p>
        </w:tc>
        <w:tc>
          <w:tcPr>
            <w:tcW w:w="0" w:type="auto"/>
            <w:hideMark/>
          </w:tcPr>
          <w:p w14:paraId="153E7143" w14:textId="77777777" w:rsidR="00E674C5" w:rsidRDefault="00E674C5" w:rsidP="00FD29F2">
            <w:pPr>
              <w:pStyle w:val="Bibliography"/>
              <w:rPr>
                <w:noProof/>
              </w:rPr>
            </w:pPr>
            <w:r>
              <w:rPr>
                <w:noProof/>
              </w:rPr>
              <w:t xml:space="preserve">H. Levy and M. Sarnat, "International Diversification of Investment Portfolios," </w:t>
            </w:r>
            <w:r>
              <w:rPr>
                <w:i/>
                <w:iCs/>
                <w:noProof/>
              </w:rPr>
              <w:t xml:space="preserve">The American Economic Review, </w:t>
            </w:r>
            <w:r>
              <w:rPr>
                <w:noProof/>
              </w:rPr>
              <w:t xml:space="preserve">vol. 60, no. 4, pp. 668-675, 1970. </w:t>
            </w:r>
          </w:p>
        </w:tc>
      </w:tr>
    </w:tbl>
    <w:p w14:paraId="3AB837DE" w14:textId="4C770BCD" w:rsidR="0038195A" w:rsidRPr="0039681F" w:rsidRDefault="0038195A" w:rsidP="00E81F60"/>
    <w:sectPr w:rsidR="0038195A" w:rsidRPr="0039681F" w:rsidSect="005A29A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1E4F7" w14:textId="77777777" w:rsidR="00523E48" w:rsidRDefault="00523E48" w:rsidP="00060D65">
      <w:pPr>
        <w:spacing w:before="0" w:after="0" w:line="240" w:lineRule="auto"/>
      </w:pPr>
      <w:r>
        <w:separator/>
      </w:r>
    </w:p>
  </w:endnote>
  <w:endnote w:type="continuationSeparator" w:id="0">
    <w:p w14:paraId="4D0679F7" w14:textId="77777777" w:rsidR="00523E48" w:rsidRDefault="00523E48" w:rsidP="00060D65">
      <w:pPr>
        <w:spacing w:before="0" w:after="0" w:line="240" w:lineRule="auto"/>
      </w:pPr>
      <w:r>
        <w:continuationSeparator/>
      </w:r>
    </w:p>
  </w:endnote>
  <w:endnote w:type="continuationNotice" w:id="1">
    <w:p w14:paraId="6A4D0A29" w14:textId="77777777" w:rsidR="00523E48" w:rsidRDefault="00523E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2464079-63DD-4080-B951-7A763D161509}"/>
  </w:font>
  <w:font w:name="Times New Roman">
    <w:panose1 w:val="02020603050405020304"/>
    <w:charset w:val="00"/>
    <w:family w:val="roman"/>
    <w:pitch w:val="variable"/>
    <w:sig w:usb0="E0002EFF" w:usb1="C000785B" w:usb2="00000009" w:usb3="00000000" w:csb0="000001FF" w:csb1="00000000"/>
    <w:embedRegular r:id="rId2" w:fontKey="{792E6736-4195-46D9-A8EB-8E128A2B8F84}"/>
    <w:embedBold r:id="rId3" w:fontKey="{47C60BFB-D227-4B3A-902F-B0E9E22D1248}"/>
  </w:font>
  <w:font w:name="Helvetica Light">
    <w:altName w:val="Arial Nova Light"/>
    <w:charset w:val="00"/>
    <w:family w:val="swiss"/>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4" w:fontKey="{C5E36D9B-7042-4771-8A8D-F1CFB87BB181}"/>
  </w:font>
  <w:font w:name="Wingdings">
    <w:panose1 w:val="05000000000000000000"/>
    <w:charset w:val="02"/>
    <w:family w:val="auto"/>
    <w:pitch w:val="variable"/>
    <w:sig w:usb0="00000000" w:usb1="10000000" w:usb2="00000000" w:usb3="00000000" w:csb0="80000000" w:csb1="00000000"/>
    <w:embedRegular r:id="rId5" w:fontKey="{6425114A-D7AE-41DF-B338-B443D6DBCA40}"/>
  </w:font>
  <w:font w:name="Helvetica">
    <w:panose1 w:val="020B0604020202020204"/>
    <w:charset w:val="00"/>
    <w:family w:val="swiss"/>
    <w:pitch w:val="variable"/>
    <w:sig w:usb0="E0002EFF" w:usb1="C000785B" w:usb2="00000009" w:usb3="00000000" w:csb0="000001FF" w:csb1="00000000"/>
    <w:embedRegular r:id="rId6" w:fontKey="{1D791E39-3D4D-4F84-9C6C-76FA0F47A7D6}"/>
    <w:embedBold r:id="rId7" w:fontKey="{AFC1B435-BD53-45FB-9643-4DF0959379EB}"/>
    <w:embedItalic r:id="rId8" w:fontKey="{21EBE1A6-1D8A-422A-8627-2958020733C3}"/>
    <w:embedBoldItalic r:id="rId9" w:fontKey="{1DC3A453-3359-4236-9D1D-DF8F4A63D636}"/>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Bold r:id="rId10" w:fontKey="{2859A537-3E55-4591-BF55-E8E2355A72F7}"/>
  </w:font>
  <w:font w:name="Aptos Narrow">
    <w:charset w:val="00"/>
    <w:family w:val="swiss"/>
    <w:pitch w:val="variable"/>
    <w:sig w:usb0="20000287" w:usb1="00000003" w:usb2="00000000" w:usb3="00000000" w:csb0="0000019F" w:csb1="00000000"/>
    <w:embedRegular r:id="rId11" w:fontKey="{69EF8455-1BF6-4562-8766-B30BAA58671C}"/>
    <w:embedBold r:id="rId12" w:fontKey="{447878AF-4351-4767-BBD8-4C690856C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1A3E" w14:textId="0279D972" w:rsidR="00471243" w:rsidRPr="00B85F95" w:rsidRDefault="00471243" w:rsidP="00B85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D0D8" w14:textId="4B997DDC" w:rsidR="00471243" w:rsidRPr="00B85F95" w:rsidRDefault="00471243" w:rsidP="00B85F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B8BB" w14:textId="1EF80B05" w:rsidR="0025200B" w:rsidRPr="00B85F95" w:rsidRDefault="0025200B" w:rsidP="00B85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3612D" w14:textId="77777777" w:rsidR="00523E48" w:rsidRDefault="00523E48" w:rsidP="00060D65">
      <w:pPr>
        <w:spacing w:before="0" w:after="0" w:line="240" w:lineRule="auto"/>
      </w:pPr>
      <w:r>
        <w:separator/>
      </w:r>
    </w:p>
  </w:footnote>
  <w:footnote w:type="continuationSeparator" w:id="0">
    <w:p w14:paraId="2F267AD1" w14:textId="77777777" w:rsidR="00523E48" w:rsidRDefault="00523E48" w:rsidP="00060D65">
      <w:pPr>
        <w:spacing w:before="0" w:after="0" w:line="240" w:lineRule="auto"/>
      </w:pPr>
      <w:r>
        <w:continuationSeparator/>
      </w:r>
    </w:p>
  </w:footnote>
  <w:footnote w:type="continuationNotice" w:id="1">
    <w:p w14:paraId="78955FC4" w14:textId="77777777" w:rsidR="00523E48" w:rsidRDefault="00523E48">
      <w:pPr>
        <w:spacing w:before="0" w:after="0" w:line="240" w:lineRule="auto"/>
      </w:pPr>
    </w:p>
  </w:footnote>
  <w:footnote w:id="2">
    <w:p w14:paraId="2A008145" w14:textId="77777777" w:rsidR="00586A07" w:rsidRDefault="00586A07" w:rsidP="00586A07">
      <w:pPr>
        <w:pStyle w:val="FootnoteText"/>
      </w:pPr>
      <w:r>
        <w:rPr>
          <w:rStyle w:val="FootnoteReference"/>
        </w:rPr>
        <w:footnoteRef/>
      </w:r>
      <w:r>
        <w:t xml:space="preserve"> “Up-front” and “running” costs are related to but distinct from “development” and “operations” costs. The up-front costs include both NRE and first-unit costs, while development costs typically include only the former. The running costs include operations and maintenance costs as well as replacement costs. We use the terms “up-front” and “running” to avoid confusion.</w:t>
      </w:r>
    </w:p>
  </w:footnote>
  <w:footnote w:id="3">
    <w:p w14:paraId="383ED2A6" w14:textId="77777777" w:rsidR="00501C40" w:rsidRDefault="00501C40" w:rsidP="00501C40">
      <w:pPr>
        <w:pStyle w:val="FootnoteText"/>
      </w:pPr>
      <w:r>
        <w:rPr>
          <w:rStyle w:val="FootnoteReference"/>
        </w:rPr>
        <w:footnoteRef/>
      </w:r>
      <w:r>
        <w:t xml:space="preserve"> Unless otherwise stated, we adopt the convention that series indices begin at 0.</w:t>
      </w:r>
    </w:p>
  </w:footnote>
  <w:footnote w:id="4">
    <w:p w14:paraId="728BD794" w14:textId="11680FFA" w:rsidR="0058508B" w:rsidRDefault="0058508B">
      <w:pPr>
        <w:pStyle w:val="FootnoteText"/>
      </w:pPr>
      <w:r>
        <w:rPr>
          <w:rStyle w:val="FootnoteReference"/>
        </w:rPr>
        <w:footnoteRef/>
      </w:r>
      <w:r>
        <w:t xml:space="preserve"> In general, if the NPV of an investment is greater than zero the investment is judged a better use of funds than whatever the alternative is. In the case of the US government, the standard alternative is risk-free Treasury bonds.</w:t>
      </w:r>
    </w:p>
  </w:footnote>
  <w:footnote w:id="5">
    <w:p w14:paraId="00E93030" w14:textId="7A0C8EF0" w:rsidR="00F02D04" w:rsidRDefault="00F02D04">
      <w:pPr>
        <w:pStyle w:val="FootnoteText"/>
      </w:pPr>
      <w:r>
        <w:rPr>
          <w:rStyle w:val="FootnoteReference"/>
        </w:rPr>
        <w:footnoteRef/>
      </w:r>
      <w:r>
        <w:t xml:space="preserve"> This is only an approximation for quick </w:t>
      </w:r>
      <w:r w:rsidR="004F45F1">
        <w:t xml:space="preserve">mental comparisons. A proper calculation of the equivalent annual flow of benefits would involve calculating the annuity with present value equal to the NPV. Since the discount rates used here are low, </w:t>
      </w:r>
      <w:r w:rsidR="00A1538A">
        <w:t>this “0 discount rate” approximation is a reasonable one.</w:t>
      </w:r>
    </w:p>
  </w:footnote>
  <w:footnote w:id="6">
    <w:p w14:paraId="3F7568AD" w14:textId="68B5726D" w:rsidR="00627945" w:rsidRDefault="00627945">
      <w:pPr>
        <w:pStyle w:val="FootnoteText"/>
      </w:pPr>
      <w:r>
        <w:rPr>
          <w:rStyle w:val="FootnoteReference"/>
        </w:rPr>
        <w:footnoteRef/>
      </w:r>
      <w:r>
        <w:t xml:space="preserve"> Recall that these benefits include benefits from reductions in higher-order interactions, e.g., reductions in interactions with debris generated in collisions with fragments from </w:t>
      </w:r>
      <w:r w:rsidR="007403A7">
        <w:t>collisions with large objects that were disposed of immediately.</w:t>
      </w:r>
    </w:p>
  </w:footnote>
  <w:footnote w:id="7">
    <w:p w14:paraId="20D2D070" w14:textId="166A1A6C" w:rsidR="00F53DD4" w:rsidRDefault="00F53DD4">
      <w:pPr>
        <w:pStyle w:val="FootnoteText"/>
      </w:pPr>
      <w:r>
        <w:rPr>
          <w:rStyle w:val="FootnoteReference"/>
        </w:rPr>
        <w:footnoteRef/>
      </w:r>
      <w:r>
        <w:t xml:space="preserve"> In </w:t>
      </w:r>
      <w:r w:rsidR="00371514">
        <w:t>financial settings, correlations between asset</w:t>
      </w:r>
      <w:r w:rsidR="00964BC9">
        <w:t xml:space="preserve"> return</w:t>
      </w:r>
      <w:r w:rsidR="00371514">
        <w:t xml:space="preserve">s </w:t>
      </w:r>
      <w:r w:rsidR="00DA3164">
        <w:t>implies</w:t>
      </w:r>
      <w:r w:rsidR="00964BC9">
        <w:t xml:space="preserve"> efficient portfolios ought to be diversified across </w:t>
      </w:r>
      <w:r w:rsidR="0099284B">
        <w:t xml:space="preserve">less-correlated </w:t>
      </w:r>
      <w:r w:rsidR="00964BC9">
        <w:t>assets</w:t>
      </w:r>
      <w:r w:rsidR="00725B16">
        <w:t xml:space="preserve"> </w:t>
      </w:r>
      <w:sdt>
        <w:sdtPr>
          <w:id w:val="-628158305"/>
          <w:citation/>
        </w:sdtPr>
        <w:sdtEndPr/>
        <w:sdtContent>
          <w:r w:rsidR="00725B16">
            <w:fldChar w:fldCharType="begin"/>
          </w:r>
          <w:r w:rsidR="00725B16">
            <w:instrText xml:space="preserve"> CITATION Mar52 \l 1033  \m Lev70</w:instrText>
          </w:r>
          <w:r w:rsidR="00725B16">
            <w:fldChar w:fldCharType="separate"/>
          </w:r>
          <w:r w:rsidR="00A466B0">
            <w:rPr>
              <w:noProof/>
            </w:rPr>
            <w:t>(Markowitz 1952, Levy and Sarnat 1970)</w:t>
          </w:r>
          <w:r w:rsidR="00725B16">
            <w:fldChar w:fldCharType="end"/>
          </w:r>
        </w:sdtContent>
      </w:sdt>
      <w:r w:rsidR="00964BC9">
        <w:t>.</w:t>
      </w:r>
      <w:r w:rsidR="007855D9">
        <w:t xml:space="preserve"> </w:t>
      </w:r>
      <w:r w:rsidR="0069311F">
        <w:t>W</w:t>
      </w:r>
      <w:r w:rsidR="001526FB">
        <w:t>e obtain analogous diversification</w:t>
      </w:r>
      <w:r w:rsidR="00081112">
        <w:t xml:space="preserve"> across actions</w:t>
      </w:r>
      <w:r w:rsidR="001526FB">
        <w:t xml:space="preserve"> due to the correlations between </w:t>
      </w:r>
      <w:r w:rsidR="00081112">
        <w:t>the specific</w:t>
      </w:r>
      <w:r w:rsidR="001526FB">
        <w:t xml:space="preserve"> risk reduction</w:t>
      </w:r>
      <w:r w:rsidR="00081112">
        <w:t>s delivered by</w:t>
      </w:r>
      <w:r w:rsidR="001526FB">
        <w:t xml:space="preserve"> different actions</w:t>
      </w:r>
      <w:r w:rsidR="00081112">
        <w:t>.</w:t>
      </w:r>
      <w:r w:rsidR="0069311F">
        <w:t xml:space="preserve"> Allowing for the possibility that actions may have correlated likelihoods of success (e.g., </w:t>
      </w:r>
      <w:r w:rsidR="00213BFA">
        <w:t>all laser-related actions may have similar failure modes) would also generate diversification across actions. We do not incorporate such possibilities in this analysis.</w:t>
      </w:r>
    </w:p>
  </w:footnote>
  <w:footnote w:id="8">
    <w:p w14:paraId="254678AC" w14:textId="2D8473E3" w:rsidR="00A6243E" w:rsidRDefault="00A6243E" w:rsidP="00A6243E">
      <w:pPr>
        <w:pStyle w:val="FootnoteText"/>
      </w:pPr>
      <w:r>
        <w:rPr>
          <w:rStyle w:val="FootnoteReference"/>
        </w:rPr>
        <w:footnoteRef/>
      </w:r>
      <w:r>
        <w:t xml:space="preserve"> </w:t>
      </w:r>
      <w:r w:rsidR="00843EC1">
        <w:rPr>
          <w:color w:val="000000" w:themeColor="text1"/>
        </w:rPr>
        <w:t>Interestingly, e</w:t>
      </w:r>
      <w:r>
        <w:rPr>
          <w:color w:val="000000" w:themeColor="text1"/>
        </w:rPr>
        <w:t xml:space="preserve">ach of these </w:t>
      </w:r>
      <w:r w:rsidR="007D7D43">
        <w:rPr>
          <w:color w:val="000000" w:themeColor="text1"/>
        </w:rPr>
        <w:t>efficient</w:t>
      </w:r>
      <w:r>
        <w:rPr>
          <w:color w:val="000000" w:themeColor="text1"/>
        </w:rPr>
        <w:t xml:space="preserve"> portfolios involves taking the next-smaller </w:t>
      </w:r>
      <w:r w:rsidR="007D7D43">
        <w:rPr>
          <w:color w:val="000000" w:themeColor="text1"/>
        </w:rPr>
        <w:t>efficient</w:t>
      </w:r>
      <w:r>
        <w:rPr>
          <w:color w:val="000000" w:themeColor="text1"/>
        </w:rPr>
        <w:t xml:space="preserve"> portfolio and adding one more action. </w:t>
      </w:r>
      <w:r>
        <w:t xml:space="preserve">This </w:t>
      </w:r>
      <w:r w:rsidR="009572AB">
        <w:t>“</w:t>
      </w:r>
      <w:r w:rsidR="007D7D43">
        <w:t>efficient</w:t>
      </w:r>
      <w:r w:rsidR="009572AB">
        <w:t xml:space="preserve"> </w:t>
      </w:r>
      <w:r>
        <w:t>nesting property</w:t>
      </w:r>
      <w:r w:rsidR="009572AB">
        <w:t>”</w:t>
      </w:r>
      <w:r>
        <w:t xml:space="preserve"> obtains when the interactions between actions in the portfolio and the new action being evaluated is not “too large” relative to the direct gain from adding the action.</w:t>
      </w:r>
    </w:p>
  </w:footnote>
  <w:footnote w:id="9">
    <w:p w14:paraId="2C984068" w14:textId="3C528313" w:rsidR="0069739C" w:rsidRDefault="0069739C">
      <w:pPr>
        <w:pStyle w:val="FootnoteText"/>
      </w:pPr>
      <w:r>
        <w:rPr>
          <w:rStyle w:val="FootnoteReference"/>
        </w:rPr>
        <w:footnoteRef/>
      </w:r>
      <w:r>
        <w:t xml:space="preserve"> </w:t>
      </w:r>
      <w:r w:rsidR="002912F8">
        <w:t>Discounting amplifies this effect</w:t>
      </w:r>
      <w:r w:rsidR="00C8583B">
        <w:t xml:space="preserve"> since earlier costs are weighted higher than later costs</w:t>
      </w:r>
      <w:r w:rsidR="002912F8">
        <w:t xml:space="preserve"> but </w:t>
      </w:r>
      <w:r w:rsidR="00B232F2">
        <w:t xml:space="preserve">is not the reason it exists. Fundamentally, amortizing the up-front cost over a longer period while holding the analysis horizon fixed crowds out the </w:t>
      </w:r>
      <w:r w:rsidR="0055116A">
        <w:t>same</w:t>
      </w:r>
      <w:r w:rsidR="0066103A">
        <w:t xml:space="preserve"> number of running cost years</w:t>
      </w:r>
      <w:r w:rsidR="008D5E02">
        <w:t xml:space="preserve">, </w:t>
      </w:r>
      <w:r w:rsidR="00BC02CB">
        <w:t>changing</w:t>
      </w:r>
      <w:r w:rsidR="0066103A">
        <w:t xml:space="preserve"> the total cost paid. Over an infinite-time analysis horizon with no discounting this effect would not exist; but over an infinite horizon with no discounting the costs would diverge</w:t>
      </w:r>
      <w:r w:rsidR="005B64BA">
        <w:t xml:space="preserve"> to infinity</w:t>
      </w:r>
      <w:r w:rsidR="005E2062">
        <w:t>.</w:t>
      </w:r>
      <w:r w:rsidR="00361B79">
        <w:t xml:space="preserve"> Regardless, it is a basic point of financial analysis that all else equal it is better to pay a given amount over a longer period than a shorter one.</w:t>
      </w:r>
    </w:p>
  </w:footnote>
  <w:footnote w:id="10">
    <w:p w14:paraId="553D8342" w14:textId="33814683" w:rsidR="00737D49" w:rsidRDefault="00737D49">
      <w:pPr>
        <w:pStyle w:val="FootnoteText"/>
      </w:pPr>
      <w:r>
        <w:rPr>
          <w:rStyle w:val="FootnoteReference"/>
        </w:rPr>
        <w:footnoteRef/>
      </w:r>
      <w:r>
        <w:t xml:space="preserve"> </w:t>
      </w:r>
      <w:r w:rsidR="001E704A">
        <w:t xml:space="preserve">For example, Figure </w:t>
      </w:r>
      <w:r w:rsidR="007A582B">
        <w:t xml:space="preserve">7 </w:t>
      </w:r>
      <w:r w:rsidR="001E704A">
        <w:t>show</w:t>
      </w:r>
      <w:r w:rsidR="00F86819">
        <w:t>s</w:t>
      </w:r>
      <w:r w:rsidR="001E704A">
        <w:t xml:space="preserve"> that</w:t>
      </w:r>
      <w:r w:rsidR="000A206B">
        <w:t xml:space="preserve"> under Model 2</w:t>
      </w:r>
      <w:r w:rsidR="001E704A">
        <w:t xml:space="preserve"> Laser JCA adds </w:t>
      </w:r>
      <w:r w:rsidR="000A206B">
        <w:t>around</w:t>
      </w:r>
      <w:r w:rsidR="001E704A">
        <w:t xml:space="preserve"> </w:t>
      </w:r>
      <w:r w:rsidR="004D12FB">
        <w:t>7.5%</w:t>
      </w:r>
      <w:r w:rsidR="001E704A">
        <w:t xml:space="preserve"> to the NPV of the </w:t>
      </w:r>
      <w:r w:rsidR="007D7D43">
        <w:t>efficient</w:t>
      </w:r>
      <w:r w:rsidR="001E704A">
        <w:t xml:space="preserve"> portfolio as the thir</w:t>
      </w:r>
      <w:r w:rsidR="004D12FB">
        <w:t>d</w:t>
      </w:r>
      <w:r w:rsidR="001E704A">
        <w:t xml:space="preserve"> action</w:t>
      </w:r>
      <w:r w:rsidR="004D12FB">
        <w:t xml:space="preserve"> added.</w:t>
      </w:r>
      <w:r w:rsidR="00F86819">
        <w:t xml:space="preserve"> Combined with Table </w:t>
      </w:r>
      <w:r w:rsidR="007A582B">
        <w:t>5</w:t>
      </w:r>
      <w:r w:rsidR="00F86819">
        <w:t>, that implies a marginal value</w:t>
      </w:r>
      <w:r w:rsidR="007A582B">
        <w:t xml:space="preserve"> of Laser JCA</w:t>
      </w:r>
      <w:r w:rsidR="00F86819">
        <w:t xml:space="preserve"> in the </w:t>
      </w:r>
      <w:r w:rsidR="007D7D43">
        <w:t>efficient</w:t>
      </w:r>
      <w:r w:rsidR="00F86819">
        <w:t xml:space="preserve"> portfolio of roughly </w:t>
      </w:r>
      <w:r w:rsidR="00B42ED9">
        <w:t>$21 B.</w:t>
      </w:r>
      <w:r w:rsidR="000A206B">
        <w:t xml:space="preserve"> </w:t>
      </w:r>
      <w:r w:rsidR="004B2904">
        <w:t xml:space="preserve">A 10-year </w:t>
      </w:r>
      <w:r w:rsidR="000D5DF5">
        <w:t xml:space="preserve">TTV </w:t>
      </w:r>
      <w:r w:rsidR="004B2904">
        <w:t xml:space="preserve">reduction would reduce the </w:t>
      </w:r>
      <w:r w:rsidR="000D5DF5">
        <w:t>marginal NPV</w:t>
      </w:r>
      <w:r w:rsidR="004B2904">
        <w:t xml:space="preserve"> added by around $14 B</w:t>
      </w:r>
      <w:r w:rsidR="00CD181A">
        <w:t>.</w:t>
      </w:r>
      <w:r w:rsidR="004113AF">
        <w:t xml:space="preserve"> On the other hand, the PV of benefits increases by about </w:t>
      </w:r>
      <w:r w:rsidR="000D5DF5">
        <w:t xml:space="preserve">$9 B from the same 10-year the TTV reduction, suggesting that there may be </w:t>
      </w:r>
      <w:r w:rsidR="0029789C">
        <w:t xml:space="preserve">TTV reductions that generate </w:t>
      </w:r>
      <w:r w:rsidR="00C714F8">
        <w:t>PV benefits without imposing excess budgetary strain.</w:t>
      </w:r>
    </w:p>
  </w:footnote>
  <w:footnote w:id="11">
    <w:p w14:paraId="4D39CB46" w14:textId="394E2481" w:rsidR="00DB7C2B" w:rsidRDefault="00DB7C2B" w:rsidP="00DB7C2B">
      <w:pPr>
        <w:pStyle w:val="FootnoteText"/>
      </w:pPr>
      <w:r>
        <w:rPr>
          <w:rStyle w:val="FootnoteReference"/>
        </w:rPr>
        <w:footnoteRef/>
      </w:r>
      <w:r>
        <w:t xml:space="preserve"> Interestingly, uniform 0-year TTVs breaks the “</w:t>
      </w:r>
      <w:r w:rsidR="007D7D43">
        <w:t>efficient</w:t>
      </w:r>
      <w:r>
        <w:t xml:space="preserve"> nesting” property identified for the “10-year TTV unconstrained </w:t>
      </w:r>
      <w:r w:rsidR="007D7D43">
        <w:t>efficient</w:t>
      </w:r>
      <w:r>
        <w:t xml:space="preserve"> portfolio” in Table </w:t>
      </w:r>
      <w:r w:rsidR="00E335C1">
        <w:t xml:space="preserve">5 </w:t>
      </w:r>
      <w:r>
        <w:t xml:space="preserve">for Model 2: </w:t>
      </w:r>
      <w:r w:rsidR="006E7791">
        <w:t xml:space="preserve">with a 0-year TTV, </w:t>
      </w:r>
      <w:r>
        <w:t xml:space="preserve">the </w:t>
      </w:r>
      <w:r w:rsidR="007D7D43">
        <w:t>efficient</w:t>
      </w:r>
      <w:r>
        <w:t xml:space="preserve"> portfolio constrained to 3 or fewer actions involves the more comprehensive tracking system (Laser ranging and 2 new Space Fences), while at 4 actions the inclusion of Laser cm debris removal obviates the need for the 2 new Space Fences that would track centimeter debris. The ranking in the Model 2 </w:t>
      </w:r>
      <w:r w:rsidR="007D7D43">
        <w:t>efficient</w:t>
      </w:r>
      <w:r>
        <w:t xml:space="preserve"> portfolio</w:t>
      </w:r>
      <w:r w:rsidR="006E7791">
        <w:t xml:space="preserve"> in Table 7</w:t>
      </w:r>
      <w:r>
        <w:t xml:space="preserve"> reflects the ranking conditional on excluding “Laser ranging and 2 new Space Fences”.</w:t>
      </w:r>
    </w:p>
  </w:footnote>
  <w:footnote w:id="12">
    <w:p w14:paraId="48C34567" w14:textId="77777777" w:rsidR="002A6A75" w:rsidRDefault="002A6A75" w:rsidP="002A6A75">
      <w:pPr>
        <w:pStyle w:val="FootnoteText"/>
      </w:pPr>
      <w:r>
        <w:rPr>
          <w:rStyle w:val="FootnoteReference"/>
        </w:rPr>
        <w:footnoteRef/>
      </w:r>
      <w:r>
        <w:t xml:space="preserve"> There is also the challenge that many behavioral parameters that govern responses to environmental or economic changes, e.g., greater congestion in some orbits or changes in launch prices, are not yet well-quantified.</w:t>
      </w:r>
    </w:p>
  </w:footnote>
  <w:footnote w:id="13">
    <w:p w14:paraId="2671F8FE" w14:textId="77777777" w:rsidR="00FD25C5" w:rsidRPr="00581647" w:rsidRDefault="00FD25C5" w:rsidP="00FD25C5">
      <w:pPr>
        <w:rPr>
          <w:sz w:val="20"/>
          <w:szCs w:val="20"/>
        </w:rPr>
      </w:pPr>
      <w:r w:rsidRPr="00581647">
        <w:rPr>
          <w:rStyle w:val="FootnoteReference"/>
          <w:sz w:val="20"/>
          <w:szCs w:val="20"/>
        </w:rPr>
        <w:footnoteRef/>
      </w:r>
      <w:r w:rsidRPr="00581647">
        <w:rPr>
          <w:sz w:val="20"/>
          <w:szCs w:val="20"/>
        </w:rPr>
        <w:t xml:space="preserve"> The time profile over which up-front costs are accrued varies substantially by technology. For actions that involve new technologies, there is also considerable uncertainty over the shape of the profile.</w:t>
      </w:r>
    </w:p>
  </w:footnote>
  <w:footnote w:id="14">
    <w:p w14:paraId="6A39EA09" w14:textId="77777777" w:rsidR="00C1384E" w:rsidRDefault="00C1384E" w:rsidP="00C1384E">
      <w:pPr>
        <w:pStyle w:val="FootnoteText"/>
      </w:pPr>
      <w:r>
        <w:rPr>
          <w:rStyle w:val="FootnoteReference"/>
        </w:rPr>
        <w:footnoteRef/>
      </w:r>
      <w:r>
        <w:t xml:space="preserve"> “Unit” here should be understood inclusively. For actions like shielding, the first unit is the first wave of shielding applied to all eligible spacecraft in the fleet. For actions like grab and remove, the first unit is the first full architecture that implements the action. For actions like laser JCA, the first unit is the first facility.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48E9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C941E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7ACA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CA89F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288898"/>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FFFFFF81"/>
    <w:multiLevelType w:val="singleLevel"/>
    <w:tmpl w:val="4A7E38E2"/>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2"/>
    <w:multiLevelType w:val="singleLevel"/>
    <w:tmpl w:val="F34654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6460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5C42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00AD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B0AA8"/>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A7D7CAB"/>
    <w:multiLevelType w:val="hybridMultilevel"/>
    <w:tmpl w:val="16F2B2EC"/>
    <w:lvl w:ilvl="0" w:tplc="0DEA452E">
      <w:start w:val="1"/>
      <w:numFmt w:val="bullet"/>
      <w:lvlText w:val=""/>
      <w:lvlJc w:val="left"/>
      <w:pPr>
        <w:ind w:left="720" w:hanging="360"/>
      </w:pPr>
      <w:rPr>
        <w:rFonts w:ascii="Symbol" w:eastAsiaTheme="minorHAnsi" w:hAnsi="Symbol"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103A6"/>
    <w:multiLevelType w:val="hybridMultilevel"/>
    <w:tmpl w:val="6568DB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7445D5"/>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5A75B62"/>
    <w:multiLevelType w:val="hybridMultilevel"/>
    <w:tmpl w:val="B1128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201C39"/>
    <w:multiLevelType w:val="multilevel"/>
    <w:tmpl w:val="28C44CB2"/>
    <w:numStyleLink w:val="OTPSNumberedList"/>
  </w:abstractNum>
  <w:abstractNum w:abstractNumId="16" w15:restartNumberingAfterBreak="0">
    <w:nsid w:val="1B037A55"/>
    <w:multiLevelType w:val="hybridMultilevel"/>
    <w:tmpl w:val="ED64D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EE7B17"/>
    <w:multiLevelType w:val="multilevel"/>
    <w:tmpl w:val="E6447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D14044"/>
    <w:multiLevelType w:val="multilevel"/>
    <w:tmpl w:val="28C44CB2"/>
    <w:numStyleLink w:val="OTPSNumberedList"/>
  </w:abstractNum>
  <w:abstractNum w:abstractNumId="19" w15:restartNumberingAfterBreak="0">
    <w:nsid w:val="20E64185"/>
    <w:multiLevelType w:val="hybridMultilevel"/>
    <w:tmpl w:val="91CC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485D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A305D0"/>
    <w:multiLevelType w:val="multilevel"/>
    <w:tmpl w:val="28C44CB2"/>
    <w:styleLink w:val="OTPSNumberedList"/>
    <w:lvl w:ilvl="0">
      <w:start w:val="1"/>
      <w:numFmt w:val="decimal"/>
      <w:lvlText w:val="%1."/>
      <w:lvlJc w:val="left"/>
      <w:pPr>
        <w:ind w:left="576" w:hanging="360"/>
      </w:pPr>
      <w:rPr>
        <w:rFonts w:hint="default"/>
        <w:color w:val="auto"/>
      </w:rPr>
    </w:lvl>
    <w:lvl w:ilvl="1">
      <w:start w:val="1"/>
      <w:numFmt w:val="lowerLetter"/>
      <w:lvlText w:val="%2."/>
      <w:lvlJc w:val="left"/>
      <w:pPr>
        <w:ind w:left="792" w:hanging="216"/>
      </w:pPr>
      <w:rPr>
        <w:rFonts w:hint="default"/>
      </w:rPr>
    </w:lvl>
    <w:lvl w:ilvl="2">
      <w:start w:val="1"/>
      <w:numFmt w:val="lowerRoman"/>
      <w:lvlText w:val="%3."/>
      <w:lvlJc w:val="left"/>
      <w:pPr>
        <w:ind w:left="1080" w:hanging="288"/>
      </w:pPr>
      <w:rPr>
        <w:rFonts w:hint="default"/>
      </w:rPr>
    </w:lvl>
    <w:lvl w:ilvl="3">
      <w:start w:val="1"/>
      <w:numFmt w:val="decimal"/>
      <w:lvlText w:val="(%4)"/>
      <w:lvlJc w:val="left"/>
      <w:pPr>
        <w:ind w:left="1512" w:hanging="432"/>
      </w:pPr>
      <w:rPr>
        <w:rFonts w:hint="default"/>
      </w:rPr>
    </w:lvl>
    <w:lvl w:ilvl="4">
      <w:start w:val="1"/>
      <w:numFmt w:val="lowerLetter"/>
      <w:lvlText w:val="(%5)"/>
      <w:lvlJc w:val="left"/>
      <w:pPr>
        <w:ind w:left="1872" w:hanging="360"/>
      </w:pPr>
      <w:rPr>
        <w:rFonts w:hint="default"/>
      </w:rPr>
    </w:lvl>
    <w:lvl w:ilvl="5">
      <w:start w:val="1"/>
      <w:numFmt w:val="lowerRoman"/>
      <w:lvlText w:val="(%6)"/>
      <w:lvlJc w:val="left"/>
      <w:pPr>
        <w:ind w:left="2232" w:hanging="360"/>
      </w:pPr>
      <w:rPr>
        <w:rFonts w:hint="default"/>
      </w:rPr>
    </w:lvl>
    <w:lvl w:ilvl="6">
      <w:start w:val="1"/>
      <w:numFmt w:val="decimal"/>
      <w:lvlText w:val="%7."/>
      <w:lvlJc w:val="left"/>
      <w:pPr>
        <w:tabs>
          <w:tab w:val="num" w:pos="2232"/>
        </w:tabs>
        <w:ind w:left="2448" w:hanging="216"/>
      </w:pPr>
      <w:rPr>
        <w:rFonts w:hint="default"/>
      </w:rPr>
    </w:lvl>
    <w:lvl w:ilvl="7">
      <w:start w:val="1"/>
      <w:numFmt w:val="lowerLetter"/>
      <w:lvlText w:val="%8."/>
      <w:lvlJc w:val="left"/>
      <w:pPr>
        <w:tabs>
          <w:tab w:val="num" w:pos="2448"/>
        </w:tabs>
        <w:ind w:left="2664" w:hanging="216"/>
      </w:pPr>
      <w:rPr>
        <w:rFonts w:hint="default"/>
      </w:rPr>
    </w:lvl>
    <w:lvl w:ilvl="8">
      <w:start w:val="1"/>
      <w:numFmt w:val="lowerRoman"/>
      <w:lvlText w:val="%9."/>
      <w:lvlJc w:val="left"/>
      <w:pPr>
        <w:ind w:left="2880" w:hanging="216"/>
      </w:pPr>
      <w:rPr>
        <w:rFonts w:hint="default"/>
      </w:rPr>
    </w:lvl>
  </w:abstractNum>
  <w:abstractNum w:abstractNumId="22" w15:restartNumberingAfterBreak="0">
    <w:nsid w:val="28626EA1"/>
    <w:multiLevelType w:val="hybridMultilevel"/>
    <w:tmpl w:val="BFD03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734CB7"/>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DB241E4"/>
    <w:multiLevelType w:val="multilevel"/>
    <w:tmpl w:val="61E2A986"/>
    <w:styleLink w:val="OTPSBulletedList"/>
    <w:lvl w:ilvl="0">
      <w:start w:val="1"/>
      <w:numFmt w:val="bullet"/>
      <w:lvlText w:val=""/>
      <w:lvlJc w:val="left"/>
      <w:pPr>
        <w:ind w:left="432" w:hanging="216"/>
      </w:pPr>
      <w:rPr>
        <w:rFonts w:ascii="Symbol" w:hAnsi="Symbol" w:hint="default"/>
      </w:rPr>
    </w:lvl>
    <w:lvl w:ilvl="1">
      <w:start w:val="1"/>
      <w:numFmt w:val="bullet"/>
      <w:lvlText w:val="–"/>
      <w:lvlJc w:val="left"/>
      <w:pPr>
        <w:ind w:left="648" w:hanging="216"/>
      </w:pPr>
      <w:rPr>
        <w:rFonts w:ascii="Helvetica" w:hAnsi="Helvetica" w:hint="default"/>
      </w:rPr>
    </w:lvl>
    <w:lvl w:ilvl="2">
      <w:start w:val="1"/>
      <w:numFmt w:val="bullet"/>
      <w:lvlText w:val="o"/>
      <w:lvlJc w:val="left"/>
      <w:pPr>
        <w:ind w:left="864" w:hanging="216"/>
      </w:pPr>
      <w:rPr>
        <w:rFonts w:ascii="Courier New" w:hAnsi="Courier New" w:hint="default"/>
        <w:color w:val="auto"/>
      </w:rPr>
    </w:lvl>
    <w:lvl w:ilvl="3">
      <w:start w:val="1"/>
      <w:numFmt w:val="bullet"/>
      <w:lvlText w:val=""/>
      <w:lvlJc w:val="left"/>
      <w:pPr>
        <w:ind w:left="1080" w:hanging="216"/>
      </w:pPr>
      <w:rPr>
        <w:rFonts w:ascii="Symbol" w:hAnsi="Symbol" w:hint="default"/>
        <w:color w:val="auto"/>
      </w:rPr>
    </w:lvl>
    <w:lvl w:ilvl="4">
      <w:start w:val="1"/>
      <w:numFmt w:val="bullet"/>
      <w:lvlText w:val="×"/>
      <w:lvlJc w:val="left"/>
      <w:pPr>
        <w:ind w:left="1296" w:hanging="216"/>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FB031DE"/>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A592050"/>
    <w:multiLevelType w:val="hybridMultilevel"/>
    <w:tmpl w:val="BA32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9702DE"/>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17A37CA"/>
    <w:multiLevelType w:val="hybridMultilevel"/>
    <w:tmpl w:val="0B1CA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5923B7"/>
    <w:multiLevelType w:val="hybridMultilevel"/>
    <w:tmpl w:val="641AA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E8318C"/>
    <w:multiLevelType w:val="hybridMultilevel"/>
    <w:tmpl w:val="2A8244DA"/>
    <w:lvl w:ilvl="0" w:tplc="FFFFFFFF">
      <w:start w:val="1"/>
      <w:numFmt w:val="decimal"/>
      <w:lvlText w:val="%1."/>
      <w:lvlJc w:val="left"/>
      <w:pPr>
        <w:ind w:left="360" w:hanging="36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4B38B5"/>
    <w:multiLevelType w:val="hybridMultilevel"/>
    <w:tmpl w:val="BC303434"/>
    <w:lvl w:ilvl="0" w:tplc="0DEA452E">
      <w:start w:val="1"/>
      <w:numFmt w:val="bullet"/>
      <w:lvlText w:val=""/>
      <w:lvlJc w:val="left"/>
      <w:pPr>
        <w:ind w:left="720" w:hanging="360"/>
      </w:pPr>
      <w:rPr>
        <w:rFonts w:ascii="Symbol" w:eastAsiaTheme="minorHAnsi" w:hAnsi="Symbol" w:cstheme="minorBidi"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343977"/>
    <w:multiLevelType w:val="hybridMultilevel"/>
    <w:tmpl w:val="9BC4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916C13"/>
    <w:multiLevelType w:val="multilevel"/>
    <w:tmpl w:val="61E2A986"/>
    <w:numStyleLink w:val="OTPSBulletedList"/>
  </w:abstractNum>
  <w:abstractNum w:abstractNumId="34" w15:restartNumberingAfterBreak="0">
    <w:nsid w:val="52BE0BC8"/>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3D134BC"/>
    <w:multiLevelType w:val="hybridMultilevel"/>
    <w:tmpl w:val="600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827B35"/>
    <w:multiLevelType w:val="hybridMultilevel"/>
    <w:tmpl w:val="D81AD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4CEC"/>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1E677F6"/>
    <w:multiLevelType w:val="multilevel"/>
    <w:tmpl w:val="61E2A986"/>
    <w:numStyleLink w:val="OTPSBulletedList"/>
  </w:abstractNum>
  <w:abstractNum w:abstractNumId="39" w15:restartNumberingAfterBreak="0">
    <w:nsid w:val="62910DD1"/>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D650C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DBD33A6"/>
    <w:multiLevelType w:val="hybridMultilevel"/>
    <w:tmpl w:val="21BED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AA5523"/>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6171F7E"/>
    <w:multiLevelType w:val="hybridMultilevel"/>
    <w:tmpl w:val="91CCA2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F52326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F7336F3"/>
    <w:multiLevelType w:val="hybridMultilevel"/>
    <w:tmpl w:val="B1C44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1940777">
    <w:abstractNumId w:val="35"/>
  </w:num>
  <w:num w:numId="2" w16cid:durableId="1395738073">
    <w:abstractNumId w:val="22"/>
  </w:num>
  <w:num w:numId="3" w16cid:durableId="1609318075">
    <w:abstractNumId w:val="36"/>
  </w:num>
  <w:num w:numId="4" w16cid:durableId="92015795">
    <w:abstractNumId w:val="9"/>
  </w:num>
  <w:num w:numId="5" w16cid:durableId="1274481146">
    <w:abstractNumId w:val="7"/>
  </w:num>
  <w:num w:numId="6" w16cid:durableId="1426150638">
    <w:abstractNumId w:val="6"/>
  </w:num>
  <w:num w:numId="7" w16cid:durableId="743138206">
    <w:abstractNumId w:val="5"/>
  </w:num>
  <w:num w:numId="8" w16cid:durableId="514929741">
    <w:abstractNumId w:val="4"/>
  </w:num>
  <w:num w:numId="9" w16cid:durableId="1852526131">
    <w:abstractNumId w:val="0"/>
  </w:num>
  <w:num w:numId="10" w16cid:durableId="772476480">
    <w:abstractNumId w:val="1"/>
  </w:num>
  <w:num w:numId="11" w16cid:durableId="1419718075">
    <w:abstractNumId w:val="2"/>
  </w:num>
  <w:num w:numId="12" w16cid:durableId="998341840">
    <w:abstractNumId w:val="3"/>
  </w:num>
  <w:num w:numId="13" w16cid:durableId="1002003936">
    <w:abstractNumId w:val="8"/>
  </w:num>
  <w:num w:numId="14" w16cid:durableId="475686684">
    <w:abstractNumId w:val="45"/>
  </w:num>
  <w:num w:numId="15" w16cid:durableId="290791965">
    <w:abstractNumId w:val="12"/>
  </w:num>
  <w:num w:numId="16" w16cid:durableId="1907840957">
    <w:abstractNumId w:val="40"/>
  </w:num>
  <w:num w:numId="17" w16cid:durableId="979770601">
    <w:abstractNumId w:val="24"/>
  </w:num>
  <w:num w:numId="18" w16cid:durableId="1174489122">
    <w:abstractNumId w:val="33"/>
  </w:num>
  <w:num w:numId="19" w16cid:durableId="526987543">
    <w:abstractNumId w:val="20"/>
  </w:num>
  <w:num w:numId="20" w16cid:durableId="942498329">
    <w:abstractNumId w:val="44"/>
  </w:num>
  <w:num w:numId="21" w16cid:durableId="1567301556">
    <w:abstractNumId w:val="21"/>
  </w:num>
  <w:num w:numId="22" w16cid:durableId="524486197">
    <w:abstractNumId w:val="18"/>
  </w:num>
  <w:num w:numId="23" w16cid:durableId="1340810850">
    <w:abstractNumId w:val="15"/>
  </w:num>
  <w:num w:numId="24" w16cid:durableId="1688288413">
    <w:abstractNumId w:val="32"/>
  </w:num>
  <w:num w:numId="25" w16cid:durableId="1743068157">
    <w:abstractNumId w:val="28"/>
  </w:num>
  <w:num w:numId="26" w16cid:durableId="358702786">
    <w:abstractNumId w:val="38"/>
  </w:num>
  <w:num w:numId="27" w16cid:durableId="390538940">
    <w:abstractNumId w:val="29"/>
  </w:num>
  <w:num w:numId="28" w16cid:durableId="529221835">
    <w:abstractNumId w:val="31"/>
  </w:num>
  <w:num w:numId="29" w16cid:durableId="520511782">
    <w:abstractNumId w:val="30"/>
  </w:num>
  <w:num w:numId="30" w16cid:durableId="240532874">
    <w:abstractNumId w:val="11"/>
  </w:num>
  <w:num w:numId="31" w16cid:durableId="904339071">
    <w:abstractNumId w:val="19"/>
  </w:num>
  <w:num w:numId="32" w16cid:durableId="1628389958">
    <w:abstractNumId w:val="25"/>
  </w:num>
  <w:num w:numId="33" w16cid:durableId="271012854">
    <w:abstractNumId w:val="26"/>
  </w:num>
  <w:num w:numId="34" w16cid:durableId="434786577">
    <w:abstractNumId w:val="34"/>
  </w:num>
  <w:num w:numId="35" w16cid:durableId="1991329359">
    <w:abstractNumId w:val="10"/>
  </w:num>
  <w:num w:numId="36" w16cid:durableId="985089633">
    <w:abstractNumId w:val="37"/>
  </w:num>
  <w:num w:numId="37" w16cid:durableId="1530491263">
    <w:abstractNumId w:val="43"/>
  </w:num>
  <w:num w:numId="38" w16cid:durableId="1219516309">
    <w:abstractNumId w:val="13"/>
  </w:num>
  <w:num w:numId="39" w16cid:durableId="1006399540">
    <w:abstractNumId w:val="23"/>
  </w:num>
  <w:num w:numId="40" w16cid:durableId="627854141">
    <w:abstractNumId w:val="27"/>
  </w:num>
  <w:num w:numId="41" w16cid:durableId="530800255">
    <w:abstractNumId w:val="17"/>
  </w:num>
  <w:num w:numId="42" w16cid:durableId="1664622638">
    <w:abstractNumId w:val="42"/>
  </w:num>
  <w:num w:numId="43" w16cid:durableId="918562248">
    <w:abstractNumId w:val="39"/>
  </w:num>
  <w:num w:numId="44" w16cid:durableId="721027899">
    <w:abstractNumId w:val="41"/>
  </w:num>
  <w:num w:numId="45" w16cid:durableId="961955619">
    <w:abstractNumId w:val="14"/>
  </w:num>
  <w:num w:numId="46" w16cid:durableId="9881680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activeWritingStyle w:appName="MSWord" w:lang="en-US" w:vendorID="64" w:dllVersion="0"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defaultTableStyle w:val="OT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5"/>
    <w:rsid w:val="000002E5"/>
    <w:rsid w:val="000008DD"/>
    <w:rsid w:val="00001066"/>
    <w:rsid w:val="000013A7"/>
    <w:rsid w:val="0000146A"/>
    <w:rsid w:val="00001E7B"/>
    <w:rsid w:val="00003111"/>
    <w:rsid w:val="000031B9"/>
    <w:rsid w:val="00005102"/>
    <w:rsid w:val="000055F7"/>
    <w:rsid w:val="00005723"/>
    <w:rsid w:val="0000622C"/>
    <w:rsid w:val="00006E48"/>
    <w:rsid w:val="000077A4"/>
    <w:rsid w:val="00007B7E"/>
    <w:rsid w:val="00007CD7"/>
    <w:rsid w:val="000102E1"/>
    <w:rsid w:val="00010B23"/>
    <w:rsid w:val="000115C4"/>
    <w:rsid w:val="00011D6E"/>
    <w:rsid w:val="000124BF"/>
    <w:rsid w:val="00012B1F"/>
    <w:rsid w:val="0001374D"/>
    <w:rsid w:val="00013E04"/>
    <w:rsid w:val="0001487A"/>
    <w:rsid w:val="00015146"/>
    <w:rsid w:val="000153CA"/>
    <w:rsid w:val="0001558D"/>
    <w:rsid w:val="000156A4"/>
    <w:rsid w:val="00015E9C"/>
    <w:rsid w:val="00016589"/>
    <w:rsid w:val="00017572"/>
    <w:rsid w:val="00017727"/>
    <w:rsid w:val="00020860"/>
    <w:rsid w:val="0002086E"/>
    <w:rsid w:val="00020D92"/>
    <w:rsid w:val="0002100C"/>
    <w:rsid w:val="00021211"/>
    <w:rsid w:val="00021311"/>
    <w:rsid w:val="00021339"/>
    <w:rsid w:val="0002167F"/>
    <w:rsid w:val="00021BF9"/>
    <w:rsid w:val="000229C3"/>
    <w:rsid w:val="00022E8D"/>
    <w:rsid w:val="00023603"/>
    <w:rsid w:val="00023EFE"/>
    <w:rsid w:val="000245DE"/>
    <w:rsid w:val="00025003"/>
    <w:rsid w:val="0002515A"/>
    <w:rsid w:val="000254E9"/>
    <w:rsid w:val="00025C7F"/>
    <w:rsid w:val="00025DBF"/>
    <w:rsid w:val="0002666E"/>
    <w:rsid w:val="00026A85"/>
    <w:rsid w:val="000275B9"/>
    <w:rsid w:val="000276D0"/>
    <w:rsid w:val="00030828"/>
    <w:rsid w:val="000308A3"/>
    <w:rsid w:val="00030A71"/>
    <w:rsid w:val="00030E56"/>
    <w:rsid w:val="000311F6"/>
    <w:rsid w:val="0003189D"/>
    <w:rsid w:val="00031D31"/>
    <w:rsid w:val="00032518"/>
    <w:rsid w:val="00032EB6"/>
    <w:rsid w:val="00033938"/>
    <w:rsid w:val="00034450"/>
    <w:rsid w:val="00034501"/>
    <w:rsid w:val="00034671"/>
    <w:rsid w:val="00036B69"/>
    <w:rsid w:val="00036C62"/>
    <w:rsid w:val="0003754E"/>
    <w:rsid w:val="00037E08"/>
    <w:rsid w:val="00037F50"/>
    <w:rsid w:val="000401C3"/>
    <w:rsid w:val="00040B9F"/>
    <w:rsid w:val="00041139"/>
    <w:rsid w:val="00041425"/>
    <w:rsid w:val="00041CB0"/>
    <w:rsid w:val="000420C6"/>
    <w:rsid w:val="00042CD7"/>
    <w:rsid w:val="00044255"/>
    <w:rsid w:val="00044A2E"/>
    <w:rsid w:val="000463CF"/>
    <w:rsid w:val="00047E57"/>
    <w:rsid w:val="00050390"/>
    <w:rsid w:val="00050912"/>
    <w:rsid w:val="0005114B"/>
    <w:rsid w:val="00052C07"/>
    <w:rsid w:val="00052D25"/>
    <w:rsid w:val="00052FBF"/>
    <w:rsid w:val="00053339"/>
    <w:rsid w:val="00053649"/>
    <w:rsid w:val="00053E85"/>
    <w:rsid w:val="00054987"/>
    <w:rsid w:val="000549CE"/>
    <w:rsid w:val="00054B70"/>
    <w:rsid w:val="00055364"/>
    <w:rsid w:val="000554D8"/>
    <w:rsid w:val="00055F7F"/>
    <w:rsid w:val="0005628C"/>
    <w:rsid w:val="000567CD"/>
    <w:rsid w:val="000575E1"/>
    <w:rsid w:val="00060D65"/>
    <w:rsid w:val="00060DBD"/>
    <w:rsid w:val="00061184"/>
    <w:rsid w:val="00061C32"/>
    <w:rsid w:val="00061D7B"/>
    <w:rsid w:val="00061F0C"/>
    <w:rsid w:val="00063444"/>
    <w:rsid w:val="00063642"/>
    <w:rsid w:val="0006377E"/>
    <w:rsid w:val="0006487C"/>
    <w:rsid w:val="00065447"/>
    <w:rsid w:val="00065752"/>
    <w:rsid w:val="00065A8D"/>
    <w:rsid w:val="000664CB"/>
    <w:rsid w:val="000665CF"/>
    <w:rsid w:val="00066CBD"/>
    <w:rsid w:val="000671BB"/>
    <w:rsid w:val="0006722C"/>
    <w:rsid w:val="000673C5"/>
    <w:rsid w:val="0006746F"/>
    <w:rsid w:val="00067CEA"/>
    <w:rsid w:val="00070135"/>
    <w:rsid w:val="00070BC8"/>
    <w:rsid w:val="00070E14"/>
    <w:rsid w:val="000711E3"/>
    <w:rsid w:val="0007146F"/>
    <w:rsid w:val="00071D56"/>
    <w:rsid w:val="00073399"/>
    <w:rsid w:val="00073590"/>
    <w:rsid w:val="00075857"/>
    <w:rsid w:val="00077420"/>
    <w:rsid w:val="00080478"/>
    <w:rsid w:val="00080B62"/>
    <w:rsid w:val="00081112"/>
    <w:rsid w:val="00081E23"/>
    <w:rsid w:val="0008368A"/>
    <w:rsid w:val="00084406"/>
    <w:rsid w:val="00084D4C"/>
    <w:rsid w:val="0008523C"/>
    <w:rsid w:val="00085A02"/>
    <w:rsid w:val="00085B8E"/>
    <w:rsid w:val="000860F7"/>
    <w:rsid w:val="000865A0"/>
    <w:rsid w:val="00086ED4"/>
    <w:rsid w:val="00087374"/>
    <w:rsid w:val="0008780D"/>
    <w:rsid w:val="00087D0A"/>
    <w:rsid w:val="0009046E"/>
    <w:rsid w:val="00090AF8"/>
    <w:rsid w:val="00090F60"/>
    <w:rsid w:val="0009103D"/>
    <w:rsid w:val="00091B8F"/>
    <w:rsid w:val="00092371"/>
    <w:rsid w:val="0009285E"/>
    <w:rsid w:val="00092EEF"/>
    <w:rsid w:val="0009341C"/>
    <w:rsid w:val="00093A94"/>
    <w:rsid w:val="00093D52"/>
    <w:rsid w:val="000940FA"/>
    <w:rsid w:val="00094990"/>
    <w:rsid w:val="00094C93"/>
    <w:rsid w:val="00094D09"/>
    <w:rsid w:val="00094F60"/>
    <w:rsid w:val="00095539"/>
    <w:rsid w:val="000959C1"/>
    <w:rsid w:val="00097CE8"/>
    <w:rsid w:val="000A069A"/>
    <w:rsid w:val="000A0987"/>
    <w:rsid w:val="000A1A49"/>
    <w:rsid w:val="000A1EE4"/>
    <w:rsid w:val="000A206B"/>
    <w:rsid w:val="000A2077"/>
    <w:rsid w:val="000A3A5D"/>
    <w:rsid w:val="000A3FFA"/>
    <w:rsid w:val="000A4415"/>
    <w:rsid w:val="000A5210"/>
    <w:rsid w:val="000A5F02"/>
    <w:rsid w:val="000A687A"/>
    <w:rsid w:val="000A69BE"/>
    <w:rsid w:val="000A6AAD"/>
    <w:rsid w:val="000A7502"/>
    <w:rsid w:val="000B268E"/>
    <w:rsid w:val="000B288E"/>
    <w:rsid w:val="000B2BF9"/>
    <w:rsid w:val="000B2CFF"/>
    <w:rsid w:val="000B3A95"/>
    <w:rsid w:val="000B3C62"/>
    <w:rsid w:val="000B3E5E"/>
    <w:rsid w:val="000B3EF6"/>
    <w:rsid w:val="000B499E"/>
    <w:rsid w:val="000B4ADF"/>
    <w:rsid w:val="000B5581"/>
    <w:rsid w:val="000B6AE0"/>
    <w:rsid w:val="000B6E91"/>
    <w:rsid w:val="000B76D8"/>
    <w:rsid w:val="000B77C1"/>
    <w:rsid w:val="000C0B79"/>
    <w:rsid w:val="000C0D26"/>
    <w:rsid w:val="000C0F94"/>
    <w:rsid w:val="000C2984"/>
    <w:rsid w:val="000C2A1A"/>
    <w:rsid w:val="000C2AE4"/>
    <w:rsid w:val="000C3465"/>
    <w:rsid w:val="000C3569"/>
    <w:rsid w:val="000C50B1"/>
    <w:rsid w:val="000C5BC9"/>
    <w:rsid w:val="000C61CA"/>
    <w:rsid w:val="000C66BC"/>
    <w:rsid w:val="000C6932"/>
    <w:rsid w:val="000C6E3A"/>
    <w:rsid w:val="000C7A4F"/>
    <w:rsid w:val="000C7B96"/>
    <w:rsid w:val="000D1FAA"/>
    <w:rsid w:val="000D2535"/>
    <w:rsid w:val="000D31E6"/>
    <w:rsid w:val="000D3537"/>
    <w:rsid w:val="000D382D"/>
    <w:rsid w:val="000D3B83"/>
    <w:rsid w:val="000D4FDC"/>
    <w:rsid w:val="000D5279"/>
    <w:rsid w:val="000D5D05"/>
    <w:rsid w:val="000D5DF5"/>
    <w:rsid w:val="000D61D9"/>
    <w:rsid w:val="000D6423"/>
    <w:rsid w:val="000D6B4B"/>
    <w:rsid w:val="000D6CF6"/>
    <w:rsid w:val="000D7A02"/>
    <w:rsid w:val="000D7B5E"/>
    <w:rsid w:val="000E003D"/>
    <w:rsid w:val="000E0227"/>
    <w:rsid w:val="000E050F"/>
    <w:rsid w:val="000E07BD"/>
    <w:rsid w:val="000E0C14"/>
    <w:rsid w:val="000E0FFD"/>
    <w:rsid w:val="000E15FC"/>
    <w:rsid w:val="000E210B"/>
    <w:rsid w:val="000E2428"/>
    <w:rsid w:val="000E26D5"/>
    <w:rsid w:val="000E306B"/>
    <w:rsid w:val="000E359E"/>
    <w:rsid w:val="000E3D29"/>
    <w:rsid w:val="000E44AE"/>
    <w:rsid w:val="000E4BFE"/>
    <w:rsid w:val="000E5489"/>
    <w:rsid w:val="000E56FB"/>
    <w:rsid w:val="000E58B5"/>
    <w:rsid w:val="000E6168"/>
    <w:rsid w:val="000E6ADB"/>
    <w:rsid w:val="000E6CF5"/>
    <w:rsid w:val="000E71E3"/>
    <w:rsid w:val="000F0F99"/>
    <w:rsid w:val="000F4AD6"/>
    <w:rsid w:val="000F507D"/>
    <w:rsid w:val="000F5461"/>
    <w:rsid w:val="000F57BF"/>
    <w:rsid w:val="000F5C47"/>
    <w:rsid w:val="000F6190"/>
    <w:rsid w:val="000F7AAB"/>
    <w:rsid w:val="00100043"/>
    <w:rsid w:val="001007B4"/>
    <w:rsid w:val="0010122A"/>
    <w:rsid w:val="00101594"/>
    <w:rsid w:val="00101BEC"/>
    <w:rsid w:val="00102202"/>
    <w:rsid w:val="00102492"/>
    <w:rsid w:val="00102663"/>
    <w:rsid w:val="001027A5"/>
    <w:rsid w:val="00102F5A"/>
    <w:rsid w:val="00104BE6"/>
    <w:rsid w:val="00104CC5"/>
    <w:rsid w:val="001050B8"/>
    <w:rsid w:val="001050E3"/>
    <w:rsid w:val="00105DE3"/>
    <w:rsid w:val="001065EF"/>
    <w:rsid w:val="0010704F"/>
    <w:rsid w:val="00110452"/>
    <w:rsid w:val="001109ED"/>
    <w:rsid w:val="00110A87"/>
    <w:rsid w:val="00110AF0"/>
    <w:rsid w:val="00111162"/>
    <w:rsid w:val="001116C0"/>
    <w:rsid w:val="001116CA"/>
    <w:rsid w:val="001118A6"/>
    <w:rsid w:val="00111D5A"/>
    <w:rsid w:val="00111F98"/>
    <w:rsid w:val="00112627"/>
    <w:rsid w:val="0011304A"/>
    <w:rsid w:val="00113065"/>
    <w:rsid w:val="00113BFF"/>
    <w:rsid w:val="00113E68"/>
    <w:rsid w:val="001147C9"/>
    <w:rsid w:val="00114CDB"/>
    <w:rsid w:val="00115260"/>
    <w:rsid w:val="00115938"/>
    <w:rsid w:val="001159FF"/>
    <w:rsid w:val="0011671C"/>
    <w:rsid w:val="00116AB9"/>
    <w:rsid w:val="00117C1A"/>
    <w:rsid w:val="00120183"/>
    <w:rsid w:val="0012147B"/>
    <w:rsid w:val="00121BDD"/>
    <w:rsid w:val="00121D6A"/>
    <w:rsid w:val="00121F55"/>
    <w:rsid w:val="001223D8"/>
    <w:rsid w:val="00122F8F"/>
    <w:rsid w:val="00123383"/>
    <w:rsid w:val="00123BC2"/>
    <w:rsid w:val="0012432C"/>
    <w:rsid w:val="001243E8"/>
    <w:rsid w:val="00124525"/>
    <w:rsid w:val="00124863"/>
    <w:rsid w:val="0012499E"/>
    <w:rsid w:val="00124C24"/>
    <w:rsid w:val="00124D22"/>
    <w:rsid w:val="00125187"/>
    <w:rsid w:val="00125AE5"/>
    <w:rsid w:val="00125DD8"/>
    <w:rsid w:val="00126BCF"/>
    <w:rsid w:val="00127A56"/>
    <w:rsid w:val="001303F9"/>
    <w:rsid w:val="00130410"/>
    <w:rsid w:val="00131993"/>
    <w:rsid w:val="00132164"/>
    <w:rsid w:val="00133386"/>
    <w:rsid w:val="0013440C"/>
    <w:rsid w:val="00134565"/>
    <w:rsid w:val="00134AE7"/>
    <w:rsid w:val="00136061"/>
    <w:rsid w:val="001402AF"/>
    <w:rsid w:val="001404CE"/>
    <w:rsid w:val="00140DF5"/>
    <w:rsid w:val="00140FDA"/>
    <w:rsid w:val="0014280B"/>
    <w:rsid w:val="00142A30"/>
    <w:rsid w:val="001436E4"/>
    <w:rsid w:val="00143A9C"/>
    <w:rsid w:val="001450CB"/>
    <w:rsid w:val="0014516F"/>
    <w:rsid w:val="001456CA"/>
    <w:rsid w:val="001457A3"/>
    <w:rsid w:val="00146940"/>
    <w:rsid w:val="00147112"/>
    <w:rsid w:val="00147AA7"/>
    <w:rsid w:val="00147D5F"/>
    <w:rsid w:val="00147ED4"/>
    <w:rsid w:val="00150AB0"/>
    <w:rsid w:val="00151270"/>
    <w:rsid w:val="001512DE"/>
    <w:rsid w:val="00151452"/>
    <w:rsid w:val="00151827"/>
    <w:rsid w:val="00151842"/>
    <w:rsid w:val="00152161"/>
    <w:rsid w:val="001526FB"/>
    <w:rsid w:val="001527D0"/>
    <w:rsid w:val="00152D12"/>
    <w:rsid w:val="00154C94"/>
    <w:rsid w:val="001552CF"/>
    <w:rsid w:val="00155910"/>
    <w:rsid w:val="001559F1"/>
    <w:rsid w:val="00155A1D"/>
    <w:rsid w:val="00157766"/>
    <w:rsid w:val="00157813"/>
    <w:rsid w:val="00161E91"/>
    <w:rsid w:val="001622E3"/>
    <w:rsid w:val="00162A60"/>
    <w:rsid w:val="00163EE2"/>
    <w:rsid w:val="00164D1E"/>
    <w:rsid w:val="00165ED4"/>
    <w:rsid w:val="001669C6"/>
    <w:rsid w:val="00166C6A"/>
    <w:rsid w:val="001679BA"/>
    <w:rsid w:val="00170638"/>
    <w:rsid w:val="001713BB"/>
    <w:rsid w:val="00171968"/>
    <w:rsid w:val="00172491"/>
    <w:rsid w:val="00172AFF"/>
    <w:rsid w:val="00173935"/>
    <w:rsid w:val="00173CCA"/>
    <w:rsid w:val="00174AD8"/>
    <w:rsid w:val="00175236"/>
    <w:rsid w:val="00175E5A"/>
    <w:rsid w:val="00176372"/>
    <w:rsid w:val="0017652F"/>
    <w:rsid w:val="001769E8"/>
    <w:rsid w:val="001774AA"/>
    <w:rsid w:val="00177A26"/>
    <w:rsid w:val="001801AC"/>
    <w:rsid w:val="00180409"/>
    <w:rsid w:val="00181326"/>
    <w:rsid w:val="0018151A"/>
    <w:rsid w:val="00181753"/>
    <w:rsid w:val="0018182C"/>
    <w:rsid w:val="001818C0"/>
    <w:rsid w:val="00182E6E"/>
    <w:rsid w:val="00182E8D"/>
    <w:rsid w:val="0018456A"/>
    <w:rsid w:val="00184B36"/>
    <w:rsid w:val="00185A4F"/>
    <w:rsid w:val="00185F08"/>
    <w:rsid w:val="00187302"/>
    <w:rsid w:val="0018787C"/>
    <w:rsid w:val="0019045C"/>
    <w:rsid w:val="001907C4"/>
    <w:rsid w:val="0019103D"/>
    <w:rsid w:val="00191418"/>
    <w:rsid w:val="00191527"/>
    <w:rsid w:val="001915F9"/>
    <w:rsid w:val="00191997"/>
    <w:rsid w:val="001922C6"/>
    <w:rsid w:val="001929A4"/>
    <w:rsid w:val="00192B55"/>
    <w:rsid w:val="001932D2"/>
    <w:rsid w:val="0019430C"/>
    <w:rsid w:val="00195AB5"/>
    <w:rsid w:val="00195B25"/>
    <w:rsid w:val="0019684D"/>
    <w:rsid w:val="00196E35"/>
    <w:rsid w:val="001A0BF6"/>
    <w:rsid w:val="001A0F96"/>
    <w:rsid w:val="001A1DE1"/>
    <w:rsid w:val="001A2944"/>
    <w:rsid w:val="001A31E9"/>
    <w:rsid w:val="001A3579"/>
    <w:rsid w:val="001A545E"/>
    <w:rsid w:val="001A586C"/>
    <w:rsid w:val="001A5D81"/>
    <w:rsid w:val="001A600A"/>
    <w:rsid w:val="001A6099"/>
    <w:rsid w:val="001A62D0"/>
    <w:rsid w:val="001A69B2"/>
    <w:rsid w:val="001A75A6"/>
    <w:rsid w:val="001B040E"/>
    <w:rsid w:val="001B0889"/>
    <w:rsid w:val="001B0DFF"/>
    <w:rsid w:val="001B1A3F"/>
    <w:rsid w:val="001B1BCC"/>
    <w:rsid w:val="001B20A9"/>
    <w:rsid w:val="001B2B52"/>
    <w:rsid w:val="001B310F"/>
    <w:rsid w:val="001B5023"/>
    <w:rsid w:val="001B5D21"/>
    <w:rsid w:val="001B6016"/>
    <w:rsid w:val="001B6DE8"/>
    <w:rsid w:val="001B7A83"/>
    <w:rsid w:val="001C0C4A"/>
    <w:rsid w:val="001C113D"/>
    <w:rsid w:val="001C13D6"/>
    <w:rsid w:val="001C1BF5"/>
    <w:rsid w:val="001C20D8"/>
    <w:rsid w:val="001C28C5"/>
    <w:rsid w:val="001C3B1B"/>
    <w:rsid w:val="001C417E"/>
    <w:rsid w:val="001C4235"/>
    <w:rsid w:val="001C4433"/>
    <w:rsid w:val="001C54C9"/>
    <w:rsid w:val="001C55DC"/>
    <w:rsid w:val="001C5C13"/>
    <w:rsid w:val="001C6239"/>
    <w:rsid w:val="001C6C4E"/>
    <w:rsid w:val="001C74E0"/>
    <w:rsid w:val="001C78B4"/>
    <w:rsid w:val="001C7BF3"/>
    <w:rsid w:val="001D0DD5"/>
    <w:rsid w:val="001D0E75"/>
    <w:rsid w:val="001D16B4"/>
    <w:rsid w:val="001D202F"/>
    <w:rsid w:val="001D222C"/>
    <w:rsid w:val="001D3E1C"/>
    <w:rsid w:val="001D3F50"/>
    <w:rsid w:val="001D3F6E"/>
    <w:rsid w:val="001D4E3B"/>
    <w:rsid w:val="001D51DA"/>
    <w:rsid w:val="001D5813"/>
    <w:rsid w:val="001D5B24"/>
    <w:rsid w:val="001D693C"/>
    <w:rsid w:val="001E00BD"/>
    <w:rsid w:val="001E037D"/>
    <w:rsid w:val="001E038D"/>
    <w:rsid w:val="001E05EE"/>
    <w:rsid w:val="001E0995"/>
    <w:rsid w:val="001E0EEF"/>
    <w:rsid w:val="001E1E2A"/>
    <w:rsid w:val="001E288F"/>
    <w:rsid w:val="001E2D86"/>
    <w:rsid w:val="001E361E"/>
    <w:rsid w:val="001E4BF4"/>
    <w:rsid w:val="001E5459"/>
    <w:rsid w:val="001E58DC"/>
    <w:rsid w:val="001E704A"/>
    <w:rsid w:val="001E7BEC"/>
    <w:rsid w:val="001F005F"/>
    <w:rsid w:val="001F058F"/>
    <w:rsid w:val="001F0D0C"/>
    <w:rsid w:val="001F1091"/>
    <w:rsid w:val="001F1194"/>
    <w:rsid w:val="001F13AA"/>
    <w:rsid w:val="001F2187"/>
    <w:rsid w:val="001F27E2"/>
    <w:rsid w:val="001F3F3E"/>
    <w:rsid w:val="001F417B"/>
    <w:rsid w:val="001F4B20"/>
    <w:rsid w:val="001F4BCB"/>
    <w:rsid w:val="001F4DAE"/>
    <w:rsid w:val="001F4F2B"/>
    <w:rsid w:val="001F5975"/>
    <w:rsid w:val="001F5983"/>
    <w:rsid w:val="001F6117"/>
    <w:rsid w:val="001F6AE8"/>
    <w:rsid w:val="001F7668"/>
    <w:rsid w:val="002002ED"/>
    <w:rsid w:val="00200E86"/>
    <w:rsid w:val="002011BA"/>
    <w:rsid w:val="00201D55"/>
    <w:rsid w:val="002022E2"/>
    <w:rsid w:val="00202462"/>
    <w:rsid w:val="00202B4E"/>
    <w:rsid w:val="00202DE4"/>
    <w:rsid w:val="00203C6D"/>
    <w:rsid w:val="002040A0"/>
    <w:rsid w:val="00204614"/>
    <w:rsid w:val="00204695"/>
    <w:rsid w:val="002048AC"/>
    <w:rsid w:val="00205177"/>
    <w:rsid w:val="002053BB"/>
    <w:rsid w:val="0020596F"/>
    <w:rsid w:val="00205DFC"/>
    <w:rsid w:val="00206249"/>
    <w:rsid w:val="002073DA"/>
    <w:rsid w:val="00210130"/>
    <w:rsid w:val="002103B1"/>
    <w:rsid w:val="00210C1C"/>
    <w:rsid w:val="00210E80"/>
    <w:rsid w:val="0021109F"/>
    <w:rsid w:val="00212A40"/>
    <w:rsid w:val="00213476"/>
    <w:rsid w:val="0021348C"/>
    <w:rsid w:val="00213B34"/>
    <w:rsid w:val="00213BFA"/>
    <w:rsid w:val="002140C8"/>
    <w:rsid w:val="00214A47"/>
    <w:rsid w:val="002157E4"/>
    <w:rsid w:val="00216251"/>
    <w:rsid w:val="00216A81"/>
    <w:rsid w:val="00216AA2"/>
    <w:rsid w:val="0021707C"/>
    <w:rsid w:val="00217EDB"/>
    <w:rsid w:val="002200B4"/>
    <w:rsid w:val="002214E3"/>
    <w:rsid w:val="0022167D"/>
    <w:rsid w:val="002223B4"/>
    <w:rsid w:val="00222673"/>
    <w:rsid w:val="00222F23"/>
    <w:rsid w:val="00223722"/>
    <w:rsid w:val="00223BF1"/>
    <w:rsid w:val="00223E33"/>
    <w:rsid w:val="00223F3A"/>
    <w:rsid w:val="0022449D"/>
    <w:rsid w:val="00224B64"/>
    <w:rsid w:val="00224BD0"/>
    <w:rsid w:val="00224EB7"/>
    <w:rsid w:val="002256F6"/>
    <w:rsid w:val="00225CC2"/>
    <w:rsid w:val="0022632E"/>
    <w:rsid w:val="0022757A"/>
    <w:rsid w:val="00227C2A"/>
    <w:rsid w:val="00227E0F"/>
    <w:rsid w:val="00230B89"/>
    <w:rsid w:val="002315C4"/>
    <w:rsid w:val="002319A0"/>
    <w:rsid w:val="002325F6"/>
    <w:rsid w:val="00232B7D"/>
    <w:rsid w:val="00232CA1"/>
    <w:rsid w:val="00233E84"/>
    <w:rsid w:val="002346DA"/>
    <w:rsid w:val="0023523C"/>
    <w:rsid w:val="0023526E"/>
    <w:rsid w:val="00235739"/>
    <w:rsid w:val="002357B4"/>
    <w:rsid w:val="002357BF"/>
    <w:rsid w:val="00235C5C"/>
    <w:rsid w:val="00235FEB"/>
    <w:rsid w:val="00236178"/>
    <w:rsid w:val="00236251"/>
    <w:rsid w:val="00236513"/>
    <w:rsid w:val="00240966"/>
    <w:rsid w:val="00240C94"/>
    <w:rsid w:val="00240D10"/>
    <w:rsid w:val="00241095"/>
    <w:rsid w:val="002411F4"/>
    <w:rsid w:val="00241849"/>
    <w:rsid w:val="002422D2"/>
    <w:rsid w:val="00243562"/>
    <w:rsid w:val="002441E4"/>
    <w:rsid w:val="0024515C"/>
    <w:rsid w:val="00245414"/>
    <w:rsid w:val="00245508"/>
    <w:rsid w:val="00245DCE"/>
    <w:rsid w:val="002462B4"/>
    <w:rsid w:val="00246BF8"/>
    <w:rsid w:val="00247020"/>
    <w:rsid w:val="0024750B"/>
    <w:rsid w:val="00247E1E"/>
    <w:rsid w:val="00247F03"/>
    <w:rsid w:val="002519B2"/>
    <w:rsid w:val="0025200B"/>
    <w:rsid w:val="002520FE"/>
    <w:rsid w:val="00252248"/>
    <w:rsid w:val="00252803"/>
    <w:rsid w:val="00252B45"/>
    <w:rsid w:val="002534AB"/>
    <w:rsid w:val="002538F2"/>
    <w:rsid w:val="00253B21"/>
    <w:rsid w:val="00253CBC"/>
    <w:rsid w:val="00254D30"/>
    <w:rsid w:val="00255DBD"/>
    <w:rsid w:val="00255F67"/>
    <w:rsid w:val="002560C5"/>
    <w:rsid w:val="00256715"/>
    <w:rsid w:val="002568BD"/>
    <w:rsid w:val="00256918"/>
    <w:rsid w:val="00256F84"/>
    <w:rsid w:val="002574A8"/>
    <w:rsid w:val="00260728"/>
    <w:rsid w:val="00260A79"/>
    <w:rsid w:val="00260B94"/>
    <w:rsid w:val="00260C39"/>
    <w:rsid w:val="0026164A"/>
    <w:rsid w:val="0026275D"/>
    <w:rsid w:val="00263821"/>
    <w:rsid w:val="0026457D"/>
    <w:rsid w:val="002646D2"/>
    <w:rsid w:val="00264EAC"/>
    <w:rsid w:val="002658F5"/>
    <w:rsid w:val="00265ACB"/>
    <w:rsid w:val="00266236"/>
    <w:rsid w:val="00266A30"/>
    <w:rsid w:val="00266DD6"/>
    <w:rsid w:val="00267E8E"/>
    <w:rsid w:val="00270629"/>
    <w:rsid w:val="00270F0A"/>
    <w:rsid w:val="00271A58"/>
    <w:rsid w:val="00272352"/>
    <w:rsid w:val="00272D92"/>
    <w:rsid w:val="00272EE8"/>
    <w:rsid w:val="00275218"/>
    <w:rsid w:val="002763CC"/>
    <w:rsid w:val="002771E0"/>
    <w:rsid w:val="00277546"/>
    <w:rsid w:val="00277715"/>
    <w:rsid w:val="0028092F"/>
    <w:rsid w:val="00281E5A"/>
    <w:rsid w:val="00281EE9"/>
    <w:rsid w:val="002822D1"/>
    <w:rsid w:val="00282549"/>
    <w:rsid w:val="0028390F"/>
    <w:rsid w:val="00283CA8"/>
    <w:rsid w:val="0028437C"/>
    <w:rsid w:val="0028447F"/>
    <w:rsid w:val="00285826"/>
    <w:rsid w:val="00285840"/>
    <w:rsid w:val="0028691C"/>
    <w:rsid w:val="00286991"/>
    <w:rsid w:val="00286C67"/>
    <w:rsid w:val="00286FD1"/>
    <w:rsid w:val="00290AA4"/>
    <w:rsid w:val="002912F8"/>
    <w:rsid w:val="00292862"/>
    <w:rsid w:val="00293569"/>
    <w:rsid w:val="0029358B"/>
    <w:rsid w:val="00293772"/>
    <w:rsid w:val="00293CBC"/>
    <w:rsid w:val="00293F96"/>
    <w:rsid w:val="00294FC0"/>
    <w:rsid w:val="002951A5"/>
    <w:rsid w:val="002955A6"/>
    <w:rsid w:val="00295762"/>
    <w:rsid w:val="00295A18"/>
    <w:rsid w:val="00295D84"/>
    <w:rsid w:val="00296965"/>
    <w:rsid w:val="00296E41"/>
    <w:rsid w:val="0029789C"/>
    <w:rsid w:val="00297A31"/>
    <w:rsid w:val="00297D9C"/>
    <w:rsid w:val="002A0CB7"/>
    <w:rsid w:val="002A0CFE"/>
    <w:rsid w:val="002A100A"/>
    <w:rsid w:val="002A153A"/>
    <w:rsid w:val="002A1F8C"/>
    <w:rsid w:val="002A20CE"/>
    <w:rsid w:val="002A2234"/>
    <w:rsid w:val="002A3645"/>
    <w:rsid w:val="002A3E95"/>
    <w:rsid w:val="002A410D"/>
    <w:rsid w:val="002A50F3"/>
    <w:rsid w:val="002A5745"/>
    <w:rsid w:val="002A6A75"/>
    <w:rsid w:val="002A6BE6"/>
    <w:rsid w:val="002A72E5"/>
    <w:rsid w:val="002A73AD"/>
    <w:rsid w:val="002A766D"/>
    <w:rsid w:val="002A7BB2"/>
    <w:rsid w:val="002B101A"/>
    <w:rsid w:val="002B1515"/>
    <w:rsid w:val="002B1A5B"/>
    <w:rsid w:val="002B2624"/>
    <w:rsid w:val="002B29D7"/>
    <w:rsid w:val="002B3295"/>
    <w:rsid w:val="002B34F5"/>
    <w:rsid w:val="002B4076"/>
    <w:rsid w:val="002B40FB"/>
    <w:rsid w:val="002B4183"/>
    <w:rsid w:val="002B4D30"/>
    <w:rsid w:val="002B4E34"/>
    <w:rsid w:val="002B4EB8"/>
    <w:rsid w:val="002B5600"/>
    <w:rsid w:val="002B576C"/>
    <w:rsid w:val="002B6346"/>
    <w:rsid w:val="002B6359"/>
    <w:rsid w:val="002B6419"/>
    <w:rsid w:val="002B6941"/>
    <w:rsid w:val="002B7349"/>
    <w:rsid w:val="002B73A9"/>
    <w:rsid w:val="002B7B2C"/>
    <w:rsid w:val="002B7EB6"/>
    <w:rsid w:val="002C079C"/>
    <w:rsid w:val="002C1004"/>
    <w:rsid w:val="002C1280"/>
    <w:rsid w:val="002C1B2B"/>
    <w:rsid w:val="002C1D33"/>
    <w:rsid w:val="002C289C"/>
    <w:rsid w:val="002C2E65"/>
    <w:rsid w:val="002C2EB0"/>
    <w:rsid w:val="002C3269"/>
    <w:rsid w:val="002C42A8"/>
    <w:rsid w:val="002C4ED8"/>
    <w:rsid w:val="002C5860"/>
    <w:rsid w:val="002C6AD0"/>
    <w:rsid w:val="002C6BB4"/>
    <w:rsid w:val="002C6CFA"/>
    <w:rsid w:val="002C6E04"/>
    <w:rsid w:val="002C789B"/>
    <w:rsid w:val="002C78CC"/>
    <w:rsid w:val="002C795A"/>
    <w:rsid w:val="002C7FC2"/>
    <w:rsid w:val="002D0509"/>
    <w:rsid w:val="002D1A65"/>
    <w:rsid w:val="002D3378"/>
    <w:rsid w:val="002D3525"/>
    <w:rsid w:val="002D3698"/>
    <w:rsid w:val="002D383B"/>
    <w:rsid w:val="002D4ADC"/>
    <w:rsid w:val="002D4D5B"/>
    <w:rsid w:val="002D5D88"/>
    <w:rsid w:val="002D65A8"/>
    <w:rsid w:val="002D6980"/>
    <w:rsid w:val="002D6F45"/>
    <w:rsid w:val="002D7292"/>
    <w:rsid w:val="002E0B98"/>
    <w:rsid w:val="002E13D2"/>
    <w:rsid w:val="002E24FD"/>
    <w:rsid w:val="002E2928"/>
    <w:rsid w:val="002E2947"/>
    <w:rsid w:val="002E2C05"/>
    <w:rsid w:val="002E2C34"/>
    <w:rsid w:val="002E3943"/>
    <w:rsid w:val="002E3BFE"/>
    <w:rsid w:val="002E5B2A"/>
    <w:rsid w:val="002E5B78"/>
    <w:rsid w:val="002E65F3"/>
    <w:rsid w:val="002E6DF2"/>
    <w:rsid w:val="002F01DA"/>
    <w:rsid w:val="002F0D86"/>
    <w:rsid w:val="002F100E"/>
    <w:rsid w:val="002F15BA"/>
    <w:rsid w:val="002F1A92"/>
    <w:rsid w:val="002F1BBC"/>
    <w:rsid w:val="002F1EA7"/>
    <w:rsid w:val="002F2446"/>
    <w:rsid w:val="002F257C"/>
    <w:rsid w:val="002F32E6"/>
    <w:rsid w:val="002F4AF0"/>
    <w:rsid w:val="002F5226"/>
    <w:rsid w:val="002F59B4"/>
    <w:rsid w:val="002F5E86"/>
    <w:rsid w:val="002F6B9B"/>
    <w:rsid w:val="002F7344"/>
    <w:rsid w:val="002F742E"/>
    <w:rsid w:val="002F7626"/>
    <w:rsid w:val="003001F2"/>
    <w:rsid w:val="00300CB7"/>
    <w:rsid w:val="00300ECA"/>
    <w:rsid w:val="00301211"/>
    <w:rsid w:val="003012A6"/>
    <w:rsid w:val="00301E3E"/>
    <w:rsid w:val="003026D5"/>
    <w:rsid w:val="00302EBE"/>
    <w:rsid w:val="00303776"/>
    <w:rsid w:val="0030557D"/>
    <w:rsid w:val="00305CDF"/>
    <w:rsid w:val="00305E61"/>
    <w:rsid w:val="003062E8"/>
    <w:rsid w:val="00307013"/>
    <w:rsid w:val="00310367"/>
    <w:rsid w:val="00310A0C"/>
    <w:rsid w:val="00310D88"/>
    <w:rsid w:val="0031155B"/>
    <w:rsid w:val="00311EBC"/>
    <w:rsid w:val="00312834"/>
    <w:rsid w:val="0031298D"/>
    <w:rsid w:val="00313DAC"/>
    <w:rsid w:val="003141DC"/>
    <w:rsid w:val="00314475"/>
    <w:rsid w:val="003150DD"/>
    <w:rsid w:val="00315A5A"/>
    <w:rsid w:val="00315EC5"/>
    <w:rsid w:val="00315F3F"/>
    <w:rsid w:val="00316E44"/>
    <w:rsid w:val="00316FF7"/>
    <w:rsid w:val="0031775B"/>
    <w:rsid w:val="0031780D"/>
    <w:rsid w:val="00317A40"/>
    <w:rsid w:val="0032119C"/>
    <w:rsid w:val="003217D6"/>
    <w:rsid w:val="00322A0F"/>
    <w:rsid w:val="00322B64"/>
    <w:rsid w:val="00323618"/>
    <w:rsid w:val="0032405F"/>
    <w:rsid w:val="00324738"/>
    <w:rsid w:val="00324B52"/>
    <w:rsid w:val="00325856"/>
    <w:rsid w:val="00325865"/>
    <w:rsid w:val="00325AF5"/>
    <w:rsid w:val="00325D71"/>
    <w:rsid w:val="00325DAD"/>
    <w:rsid w:val="003302E6"/>
    <w:rsid w:val="00330AE3"/>
    <w:rsid w:val="00331A5A"/>
    <w:rsid w:val="00331E91"/>
    <w:rsid w:val="0033227D"/>
    <w:rsid w:val="003327A2"/>
    <w:rsid w:val="00332B22"/>
    <w:rsid w:val="00333271"/>
    <w:rsid w:val="00333E9E"/>
    <w:rsid w:val="00334AE7"/>
    <w:rsid w:val="00334C63"/>
    <w:rsid w:val="00337015"/>
    <w:rsid w:val="0033750D"/>
    <w:rsid w:val="00337DCA"/>
    <w:rsid w:val="00340233"/>
    <w:rsid w:val="00340A54"/>
    <w:rsid w:val="0034269E"/>
    <w:rsid w:val="00342D0A"/>
    <w:rsid w:val="003434E7"/>
    <w:rsid w:val="00344719"/>
    <w:rsid w:val="0034558D"/>
    <w:rsid w:val="00345602"/>
    <w:rsid w:val="00345743"/>
    <w:rsid w:val="0034591C"/>
    <w:rsid w:val="00345D1C"/>
    <w:rsid w:val="00345F60"/>
    <w:rsid w:val="00345F72"/>
    <w:rsid w:val="00347A09"/>
    <w:rsid w:val="00351C9C"/>
    <w:rsid w:val="00351D42"/>
    <w:rsid w:val="00353479"/>
    <w:rsid w:val="0035373B"/>
    <w:rsid w:val="00353E62"/>
    <w:rsid w:val="0035416E"/>
    <w:rsid w:val="0035422C"/>
    <w:rsid w:val="00354EBC"/>
    <w:rsid w:val="00355C0F"/>
    <w:rsid w:val="00357CEE"/>
    <w:rsid w:val="00357D8A"/>
    <w:rsid w:val="003606AA"/>
    <w:rsid w:val="0036073C"/>
    <w:rsid w:val="00361032"/>
    <w:rsid w:val="00361185"/>
    <w:rsid w:val="00361B79"/>
    <w:rsid w:val="00361EEC"/>
    <w:rsid w:val="00361FB3"/>
    <w:rsid w:val="00362085"/>
    <w:rsid w:val="003620A8"/>
    <w:rsid w:val="003626C4"/>
    <w:rsid w:val="00362FA3"/>
    <w:rsid w:val="003631EB"/>
    <w:rsid w:val="0036354B"/>
    <w:rsid w:val="00363711"/>
    <w:rsid w:val="00363BE2"/>
    <w:rsid w:val="00363C58"/>
    <w:rsid w:val="00363F43"/>
    <w:rsid w:val="003648BC"/>
    <w:rsid w:val="00365610"/>
    <w:rsid w:val="00365A9E"/>
    <w:rsid w:val="00365B7E"/>
    <w:rsid w:val="00365FB1"/>
    <w:rsid w:val="0036649E"/>
    <w:rsid w:val="003668BF"/>
    <w:rsid w:val="00371514"/>
    <w:rsid w:val="00371C21"/>
    <w:rsid w:val="0037286B"/>
    <w:rsid w:val="0037342F"/>
    <w:rsid w:val="0037347C"/>
    <w:rsid w:val="00373939"/>
    <w:rsid w:val="00373EA2"/>
    <w:rsid w:val="00373FAA"/>
    <w:rsid w:val="0037414D"/>
    <w:rsid w:val="003741B4"/>
    <w:rsid w:val="003753A5"/>
    <w:rsid w:val="00375673"/>
    <w:rsid w:val="00375E4B"/>
    <w:rsid w:val="0037671A"/>
    <w:rsid w:val="0037676C"/>
    <w:rsid w:val="00376E06"/>
    <w:rsid w:val="003771D9"/>
    <w:rsid w:val="00377865"/>
    <w:rsid w:val="003778BA"/>
    <w:rsid w:val="00377D3A"/>
    <w:rsid w:val="003805A6"/>
    <w:rsid w:val="0038176D"/>
    <w:rsid w:val="0038195A"/>
    <w:rsid w:val="0038218A"/>
    <w:rsid w:val="00382A88"/>
    <w:rsid w:val="00383676"/>
    <w:rsid w:val="00384445"/>
    <w:rsid w:val="00384EDE"/>
    <w:rsid w:val="0038560B"/>
    <w:rsid w:val="00385FD3"/>
    <w:rsid w:val="00386164"/>
    <w:rsid w:val="003861A9"/>
    <w:rsid w:val="003867D6"/>
    <w:rsid w:val="00386AD8"/>
    <w:rsid w:val="003873B6"/>
    <w:rsid w:val="00390E2B"/>
    <w:rsid w:val="00392067"/>
    <w:rsid w:val="00392E54"/>
    <w:rsid w:val="0039309B"/>
    <w:rsid w:val="003935E6"/>
    <w:rsid w:val="00393DE4"/>
    <w:rsid w:val="00395796"/>
    <w:rsid w:val="00395E2C"/>
    <w:rsid w:val="0039635C"/>
    <w:rsid w:val="00396800"/>
    <w:rsid w:val="0039681F"/>
    <w:rsid w:val="003969C4"/>
    <w:rsid w:val="003A0F29"/>
    <w:rsid w:val="003A1B64"/>
    <w:rsid w:val="003A20CE"/>
    <w:rsid w:val="003A365F"/>
    <w:rsid w:val="003A3833"/>
    <w:rsid w:val="003A3E78"/>
    <w:rsid w:val="003A4C4B"/>
    <w:rsid w:val="003A6179"/>
    <w:rsid w:val="003A657C"/>
    <w:rsid w:val="003A6993"/>
    <w:rsid w:val="003A6BDC"/>
    <w:rsid w:val="003A6C37"/>
    <w:rsid w:val="003B085E"/>
    <w:rsid w:val="003B11F9"/>
    <w:rsid w:val="003B1814"/>
    <w:rsid w:val="003B1F89"/>
    <w:rsid w:val="003B27A0"/>
    <w:rsid w:val="003B28E9"/>
    <w:rsid w:val="003B2FD7"/>
    <w:rsid w:val="003B3EF8"/>
    <w:rsid w:val="003B40EB"/>
    <w:rsid w:val="003B449F"/>
    <w:rsid w:val="003B5AB3"/>
    <w:rsid w:val="003B5DFE"/>
    <w:rsid w:val="003B6053"/>
    <w:rsid w:val="003B6362"/>
    <w:rsid w:val="003B65AD"/>
    <w:rsid w:val="003B68A1"/>
    <w:rsid w:val="003B6C8B"/>
    <w:rsid w:val="003B6F53"/>
    <w:rsid w:val="003B71C2"/>
    <w:rsid w:val="003B79E5"/>
    <w:rsid w:val="003C0EDF"/>
    <w:rsid w:val="003C16AD"/>
    <w:rsid w:val="003C190B"/>
    <w:rsid w:val="003C19E6"/>
    <w:rsid w:val="003C1B57"/>
    <w:rsid w:val="003C1F05"/>
    <w:rsid w:val="003C2B8F"/>
    <w:rsid w:val="003C2BD4"/>
    <w:rsid w:val="003C3207"/>
    <w:rsid w:val="003C3B9C"/>
    <w:rsid w:val="003C412A"/>
    <w:rsid w:val="003C4564"/>
    <w:rsid w:val="003C57CB"/>
    <w:rsid w:val="003C6310"/>
    <w:rsid w:val="003C6A2A"/>
    <w:rsid w:val="003C6A82"/>
    <w:rsid w:val="003C7379"/>
    <w:rsid w:val="003C74CD"/>
    <w:rsid w:val="003D00BD"/>
    <w:rsid w:val="003D0EA9"/>
    <w:rsid w:val="003D26D2"/>
    <w:rsid w:val="003D28A5"/>
    <w:rsid w:val="003D2D28"/>
    <w:rsid w:val="003D2F7C"/>
    <w:rsid w:val="003D323E"/>
    <w:rsid w:val="003D3580"/>
    <w:rsid w:val="003D367E"/>
    <w:rsid w:val="003D3781"/>
    <w:rsid w:val="003D4E4B"/>
    <w:rsid w:val="003D57FA"/>
    <w:rsid w:val="003D5D20"/>
    <w:rsid w:val="003D62F0"/>
    <w:rsid w:val="003D6407"/>
    <w:rsid w:val="003D7C8C"/>
    <w:rsid w:val="003E00B6"/>
    <w:rsid w:val="003E0D00"/>
    <w:rsid w:val="003E1DBD"/>
    <w:rsid w:val="003E23B3"/>
    <w:rsid w:val="003E3AD2"/>
    <w:rsid w:val="003E40BF"/>
    <w:rsid w:val="003E5984"/>
    <w:rsid w:val="003E692F"/>
    <w:rsid w:val="003E7278"/>
    <w:rsid w:val="003E7EB1"/>
    <w:rsid w:val="003F021A"/>
    <w:rsid w:val="003F12A7"/>
    <w:rsid w:val="003F141D"/>
    <w:rsid w:val="003F1DF1"/>
    <w:rsid w:val="003F2206"/>
    <w:rsid w:val="003F22B7"/>
    <w:rsid w:val="003F2471"/>
    <w:rsid w:val="003F2859"/>
    <w:rsid w:val="003F2BFC"/>
    <w:rsid w:val="003F355C"/>
    <w:rsid w:val="003F4873"/>
    <w:rsid w:val="003F609F"/>
    <w:rsid w:val="003F662C"/>
    <w:rsid w:val="003F741E"/>
    <w:rsid w:val="004000DB"/>
    <w:rsid w:val="0040064C"/>
    <w:rsid w:val="00401C78"/>
    <w:rsid w:val="004027B0"/>
    <w:rsid w:val="00402C2E"/>
    <w:rsid w:val="00403B98"/>
    <w:rsid w:val="00403FBF"/>
    <w:rsid w:val="0040409A"/>
    <w:rsid w:val="004041EF"/>
    <w:rsid w:val="004051B0"/>
    <w:rsid w:val="00405ACC"/>
    <w:rsid w:val="00405B32"/>
    <w:rsid w:val="00406E20"/>
    <w:rsid w:val="004073EF"/>
    <w:rsid w:val="00407633"/>
    <w:rsid w:val="00407640"/>
    <w:rsid w:val="0041069B"/>
    <w:rsid w:val="00410720"/>
    <w:rsid w:val="004113AF"/>
    <w:rsid w:val="00411EB2"/>
    <w:rsid w:val="00411F19"/>
    <w:rsid w:val="004128F7"/>
    <w:rsid w:val="0041352E"/>
    <w:rsid w:val="00414397"/>
    <w:rsid w:val="00414899"/>
    <w:rsid w:val="00415061"/>
    <w:rsid w:val="00415590"/>
    <w:rsid w:val="00416012"/>
    <w:rsid w:val="0041611D"/>
    <w:rsid w:val="004166BF"/>
    <w:rsid w:val="004167F1"/>
    <w:rsid w:val="00416A6D"/>
    <w:rsid w:val="004170CD"/>
    <w:rsid w:val="004200C9"/>
    <w:rsid w:val="00421920"/>
    <w:rsid w:val="0042224A"/>
    <w:rsid w:val="00423C66"/>
    <w:rsid w:val="00423E1F"/>
    <w:rsid w:val="00424A36"/>
    <w:rsid w:val="00424AE2"/>
    <w:rsid w:val="00424EFC"/>
    <w:rsid w:val="0042588C"/>
    <w:rsid w:val="00425906"/>
    <w:rsid w:val="004265C9"/>
    <w:rsid w:val="00427399"/>
    <w:rsid w:val="00427747"/>
    <w:rsid w:val="00427A81"/>
    <w:rsid w:val="00427D10"/>
    <w:rsid w:val="004314A3"/>
    <w:rsid w:val="00431DAF"/>
    <w:rsid w:val="0043278A"/>
    <w:rsid w:val="00432C3F"/>
    <w:rsid w:val="004333F1"/>
    <w:rsid w:val="00433FE4"/>
    <w:rsid w:val="0043494D"/>
    <w:rsid w:val="00435476"/>
    <w:rsid w:val="00435546"/>
    <w:rsid w:val="004373E5"/>
    <w:rsid w:val="0044013F"/>
    <w:rsid w:val="004409CA"/>
    <w:rsid w:val="00441443"/>
    <w:rsid w:val="00441BB0"/>
    <w:rsid w:val="004422FB"/>
    <w:rsid w:val="00443B70"/>
    <w:rsid w:val="004443C5"/>
    <w:rsid w:val="00444406"/>
    <w:rsid w:val="00444430"/>
    <w:rsid w:val="004444DE"/>
    <w:rsid w:val="00444CFA"/>
    <w:rsid w:val="00444EDD"/>
    <w:rsid w:val="00446340"/>
    <w:rsid w:val="00446ACC"/>
    <w:rsid w:val="0044763E"/>
    <w:rsid w:val="004502A6"/>
    <w:rsid w:val="00450509"/>
    <w:rsid w:val="00450567"/>
    <w:rsid w:val="00451B68"/>
    <w:rsid w:val="00451B71"/>
    <w:rsid w:val="00452E70"/>
    <w:rsid w:val="00452F17"/>
    <w:rsid w:val="004530A4"/>
    <w:rsid w:val="0045399A"/>
    <w:rsid w:val="00454008"/>
    <w:rsid w:val="00454042"/>
    <w:rsid w:val="00454126"/>
    <w:rsid w:val="00454383"/>
    <w:rsid w:val="00454467"/>
    <w:rsid w:val="00454C74"/>
    <w:rsid w:val="004555C7"/>
    <w:rsid w:val="00455AD5"/>
    <w:rsid w:val="0045688B"/>
    <w:rsid w:val="00457015"/>
    <w:rsid w:val="0045712C"/>
    <w:rsid w:val="0046024A"/>
    <w:rsid w:val="004609D2"/>
    <w:rsid w:val="0046142D"/>
    <w:rsid w:val="00462C84"/>
    <w:rsid w:val="004634CB"/>
    <w:rsid w:val="0046382E"/>
    <w:rsid w:val="00464D99"/>
    <w:rsid w:val="00465920"/>
    <w:rsid w:val="00465AB5"/>
    <w:rsid w:val="00465DD5"/>
    <w:rsid w:val="004663D3"/>
    <w:rsid w:val="0046643B"/>
    <w:rsid w:val="00466F69"/>
    <w:rsid w:val="0046720B"/>
    <w:rsid w:val="00467774"/>
    <w:rsid w:val="00467ED6"/>
    <w:rsid w:val="00470BDC"/>
    <w:rsid w:val="00471243"/>
    <w:rsid w:val="00471B0D"/>
    <w:rsid w:val="00472028"/>
    <w:rsid w:val="00472422"/>
    <w:rsid w:val="0047269F"/>
    <w:rsid w:val="00472F78"/>
    <w:rsid w:val="00473CD8"/>
    <w:rsid w:val="004749D3"/>
    <w:rsid w:val="00474F03"/>
    <w:rsid w:val="004758FA"/>
    <w:rsid w:val="0047651C"/>
    <w:rsid w:val="00476EF3"/>
    <w:rsid w:val="00477C8D"/>
    <w:rsid w:val="0048111A"/>
    <w:rsid w:val="004814D3"/>
    <w:rsid w:val="00481B31"/>
    <w:rsid w:val="004820BF"/>
    <w:rsid w:val="0048234A"/>
    <w:rsid w:val="00482F2A"/>
    <w:rsid w:val="00483293"/>
    <w:rsid w:val="0048486B"/>
    <w:rsid w:val="0048604B"/>
    <w:rsid w:val="004871A7"/>
    <w:rsid w:val="00487427"/>
    <w:rsid w:val="0049029D"/>
    <w:rsid w:val="004902BD"/>
    <w:rsid w:val="004903EF"/>
    <w:rsid w:val="004905D6"/>
    <w:rsid w:val="00490D5C"/>
    <w:rsid w:val="00491CB0"/>
    <w:rsid w:val="00492B51"/>
    <w:rsid w:val="00492FA4"/>
    <w:rsid w:val="004944E8"/>
    <w:rsid w:val="00495057"/>
    <w:rsid w:val="00495B33"/>
    <w:rsid w:val="004964DF"/>
    <w:rsid w:val="00497030"/>
    <w:rsid w:val="00497174"/>
    <w:rsid w:val="00497F66"/>
    <w:rsid w:val="004A0BE4"/>
    <w:rsid w:val="004A0CD4"/>
    <w:rsid w:val="004A0FB3"/>
    <w:rsid w:val="004A14DD"/>
    <w:rsid w:val="004A17D8"/>
    <w:rsid w:val="004A1F1C"/>
    <w:rsid w:val="004A2488"/>
    <w:rsid w:val="004A2701"/>
    <w:rsid w:val="004A3F03"/>
    <w:rsid w:val="004A48C4"/>
    <w:rsid w:val="004A569B"/>
    <w:rsid w:val="004A7178"/>
    <w:rsid w:val="004B14D9"/>
    <w:rsid w:val="004B22D1"/>
    <w:rsid w:val="004B2529"/>
    <w:rsid w:val="004B279B"/>
    <w:rsid w:val="004B2904"/>
    <w:rsid w:val="004B2D64"/>
    <w:rsid w:val="004B2FF3"/>
    <w:rsid w:val="004B31EF"/>
    <w:rsid w:val="004B41F6"/>
    <w:rsid w:val="004B457C"/>
    <w:rsid w:val="004B507D"/>
    <w:rsid w:val="004B71A9"/>
    <w:rsid w:val="004B7737"/>
    <w:rsid w:val="004B79FB"/>
    <w:rsid w:val="004B7D88"/>
    <w:rsid w:val="004B7F3B"/>
    <w:rsid w:val="004C11ED"/>
    <w:rsid w:val="004C179E"/>
    <w:rsid w:val="004C1A06"/>
    <w:rsid w:val="004C1DD0"/>
    <w:rsid w:val="004C3A94"/>
    <w:rsid w:val="004C3DAD"/>
    <w:rsid w:val="004C481E"/>
    <w:rsid w:val="004C4D17"/>
    <w:rsid w:val="004C7B1A"/>
    <w:rsid w:val="004D06E6"/>
    <w:rsid w:val="004D12FB"/>
    <w:rsid w:val="004D1E51"/>
    <w:rsid w:val="004D2199"/>
    <w:rsid w:val="004D2231"/>
    <w:rsid w:val="004D2980"/>
    <w:rsid w:val="004D3545"/>
    <w:rsid w:val="004D4CBB"/>
    <w:rsid w:val="004D4D63"/>
    <w:rsid w:val="004D54C4"/>
    <w:rsid w:val="004D5802"/>
    <w:rsid w:val="004D5CE7"/>
    <w:rsid w:val="004D6067"/>
    <w:rsid w:val="004D66A6"/>
    <w:rsid w:val="004D6E0C"/>
    <w:rsid w:val="004D6E32"/>
    <w:rsid w:val="004D731F"/>
    <w:rsid w:val="004D7F22"/>
    <w:rsid w:val="004E07B4"/>
    <w:rsid w:val="004E0A31"/>
    <w:rsid w:val="004E21F6"/>
    <w:rsid w:val="004E221E"/>
    <w:rsid w:val="004E2B20"/>
    <w:rsid w:val="004E3959"/>
    <w:rsid w:val="004E4708"/>
    <w:rsid w:val="004E49EC"/>
    <w:rsid w:val="004E4D9F"/>
    <w:rsid w:val="004E5089"/>
    <w:rsid w:val="004E51DA"/>
    <w:rsid w:val="004E5234"/>
    <w:rsid w:val="004E6AE0"/>
    <w:rsid w:val="004E6D0E"/>
    <w:rsid w:val="004E71DB"/>
    <w:rsid w:val="004F0421"/>
    <w:rsid w:val="004F09A2"/>
    <w:rsid w:val="004F0F73"/>
    <w:rsid w:val="004F1B1D"/>
    <w:rsid w:val="004F3086"/>
    <w:rsid w:val="004F31E2"/>
    <w:rsid w:val="004F3DAD"/>
    <w:rsid w:val="004F41CB"/>
    <w:rsid w:val="004F45F1"/>
    <w:rsid w:val="004F476E"/>
    <w:rsid w:val="004F4837"/>
    <w:rsid w:val="004F4BCE"/>
    <w:rsid w:val="004F593B"/>
    <w:rsid w:val="004F5D8D"/>
    <w:rsid w:val="004F5F26"/>
    <w:rsid w:val="004F6D49"/>
    <w:rsid w:val="004F6FD5"/>
    <w:rsid w:val="004F7584"/>
    <w:rsid w:val="00500D27"/>
    <w:rsid w:val="00500DBD"/>
    <w:rsid w:val="0050114F"/>
    <w:rsid w:val="0050140F"/>
    <w:rsid w:val="00501C40"/>
    <w:rsid w:val="005021F1"/>
    <w:rsid w:val="0050228C"/>
    <w:rsid w:val="00503464"/>
    <w:rsid w:val="0050356C"/>
    <w:rsid w:val="005039B0"/>
    <w:rsid w:val="00503AD2"/>
    <w:rsid w:val="00503B4C"/>
    <w:rsid w:val="00503BE1"/>
    <w:rsid w:val="00503DE1"/>
    <w:rsid w:val="00505A8A"/>
    <w:rsid w:val="005065C4"/>
    <w:rsid w:val="00506A12"/>
    <w:rsid w:val="00506EFF"/>
    <w:rsid w:val="0050724B"/>
    <w:rsid w:val="0050766E"/>
    <w:rsid w:val="005076F9"/>
    <w:rsid w:val="00507E17"/>
    <w:rsid w:val="0051012A"/>
    <w:rsid w:val="00510779"/>
    <w:rsid w:val="00511A2E"/>
    <w:rsid w:val="005122A6"/>
    <w:rsid w:val="00512456"/>
    <w:rsid w:val="00512A77"/>
    <w:rsid w:val="005140B5"/>
    <w:rsid w:val="00514BA6"/>
    <w:rsid w:val="00514F88"/>
    <w:rsid w:val="00515EE4"/>
    <w:rsid w:val="00515F8C"/>
    <w:rsid w:val="00516220"/>
    <w:rsid w:val="00516306"/>
    <w:rsid w:val="00516D60"/>
    <w:rsid w:val="00516FC2"/>
    <w:rsid w:val="005176EE"/>
    <w:rsid w:val="005206A9"/>
    <w:rsid w:val="00520B5E"/>
    <w:rsid w:val="005210C8"/>
    <w:rsid w:val="00521AB3"/>
    <w:rsid w:val="00521CEE"/>
    <w:rsid w:val="005224F3"/>
    <w:rsid w:val="005229EF"/>
    <w:rsid w:val="00522ED2"/>
    <w:rsid w:val="00523130"/>
    <w:rsid w:val="005235C3"/>
    <w:rsid w:val="00523E48"/>
    <w:rsid w:val="005240CB"/>
    <w:rsid w:val="005257AB"/>
    <w:rsid w:val="0052613E"/>
    <w:rsid w:val="0052626A"/>
    <w:rsid w:val="005264DD"/>
    <w:rsid w:val="00526F6A"/>
    <w:rsid w:val="00527135"/>
    <w:rsid w:val="0052732C"/>
    <w:rsid w:val="0052737D"/>
    <w:rsid w:val="00530730"/>
    <w:rsid w:val="0053094E"/>
    <w:rsid w:val="005328D3"/>
    <w:rsid w:val="00532FAE"/>
    <w:rsid w:val="005333DC"/>
    <w:rsid w:val="00533C0C"/>
    <w:rsid w:val="00533D55"/>
    <w:rsid w:val="00534FD7"/>
    <w:rsid w:val="00535E61"/>
    <w:rsid w:val="005365A5"/>
    <w:rsid w:val="00540462"/>
    <w:rsid w:val="00540484"/>
    <w:rsid w:val="00541A96"/>
    <w:rsid w:val="00542446"/>
    <w:rsid w:val="0054278D"/>
    <w:rsid w:val="0054374D"/>
    <w:rsid w:val="00544158"/>
    <w:rsid w:val="00544281"/>
    <w:rsid w:val="005444D6"/>
    <w:rsid w:val="00544573"/>
    <w:rsid w:val="00544F38"/>
    <w:rsid w:val="0054575C"/>
    <w:rsid w:val="005458C2"/>
    <w:rsid w:val="00545903"/>
    <w:rsid w:val="00545CF5"/>
    <w:rsid w:val="00545D07"/>
    <w:rsid w:val="00545EAA"/>
    <w:rsid w:val="005476DF"/>
    <w:rsid w:val="00547821"/>
    <w:rsid w:val="00547EA1"/>
    <w:rsid w:val="00550DAA"/>
    <w:rsid w:val="0055116A"/>
    <w:rsid w:val="005515CE"/>
    <w:rsid w:val="00551931"/>
    <w:rsid w:val="00551DD9"/>
    <w:rsid w:val="00552242"/>
    <w:rsid w:val="0055260F"/>
    <w:rsid w:val="0055261C"/>
    <w:rsid w:val="00552CE1"/>
    <w:rsid w:val="005543DD"/>
    <w:rsid w:val="00554C94"/>
    <w:rsid w:val="00555872"/>
    <w:rsid w:val="00555B2C"/>
    <w:rsid w:val="0055604D"/>
    <w:rsid w:val="00556055"/>
    <w:rsid w:val="00556C43"/>
    <w:rsid w:val="00556E2B"/>
    <w:rsid w:val="00557067"/>
    <w:rsid w:val="00557383"/>
    <w:rsid w:val="005575B6"/>
    <w:rsid w:val="0056003A"/>
    <w:rsid w:val="005605E2"/>
    <w:rsid w:val="00560C33"/>
    <w:rsid w:val="005613CC"/>
    <w:rsid w:val="0056163B"/>
    <w:rsid w:val="00561F8F"/>
    <w:rsid w:val="00562263"/>
    <w:rsid w:val="005636ED"/>
    <w:rsid w:val="00563BEF"/>
    <w:rsid w:val="00563C94"/>
    <w:rsid w:val="00564833"/>
    <w:rsid w:val="00565E50"/>
    <w:rsid w:val="005660DD"/>
    <w:rsid w:val="00566250"/>
    <w:rsid w:val="00566D28"/>
    <w:rsid w:val="00567405"/>
    <w:rsid w:val="00567556"/>
    <w:rsid w:val="005676D8"/>
    <w:rsid w:val="005679C5"/>
    <w:rsid w:val="0057101A"/>
    <w:rsid w:val="005717BB"/>
    <w:rsid w:val="00573B11"/>
    <w:rsid w:val="00573B58"/>
    <w:rsid w:val="00573C33"/>
    <w:rsid w:val="00574415"/>
    <w:rsid w:val="005748B1"/>
    <w:rsid w:val="005756B5"/>
    <w:rsid w:val="00575AAA"/>
    <w:rsid w:val="00576F17"/>
    <w:rsid w:val="00577F6F"/>
    <w:rsid w:val="005805F5"/>
    <w:rsid w:val="005807CF"/>
    <w:rsid w:val="005808AE"/>
    <w:rsid w:val="00581647"/>
    <w:rsid w:val="005819B3"/>
    <w:rsid w:val="00581A2D"/>
    <w:rsid w:val="00581A3C"/>
    <w:rsid w:val="00582347"/>
    <w:rsid w:val="00582AC6"/>
    <w:rsid w:val="00582DA0"/>
    <w:rsid w:val="00582E4D"/>
    <w:rsid w:val="0058309D"/>
    <w:rsid w:val="00583FFB"/>
    <w:rsid w:val="00584D83"/>
    <w:rsid w:val="00584F1B"/>
    <w:rsid w:val="0058508B"/>
    <w:rsid w:val="005863E2"/>
    <w:rsid w:val="00586828"/>
    <w:rsid w:val="00586A07"/>
    <w:rsid w:val="00587A74"/>
    <w:rsid w:val="00587D0E"/>
    <w:rsid w:val="0059071C"/>
    <w:rsid w:val="00591B52"/>
    <w:rsid w:val="00591D30"/>
    <w:rsid w:val="005929B5"/>
    <w:rsid w:val="0059339F"/>
    <w:rsid w:val="005936C1"/>
    <w:rsid w:val="005938B3"/>
    <w:rsid w:val="00593A56"/>
    <w:rsid w:val="005942A3"/>
    <w:rsid w:val="00594453"/>
    <w:rsid w:val="005949E8"/>
    <w:rsid w:val="0059615F"/>
    <w:rsid w:val="00596BBF"/>
    <w:rsid w:val="0059725E"/>
    <w:rsid w:val="00597509"/>
    <w:rsid w:val="005A0979"/>
    <w:rsid w:val="005A09C9"/>
    <w:rsid w:val="005A0EE5"/>
    <w:rsid w:val="005A171E"/>
    <w:rsid w:val="005A200E"/>
    <w:rsid w:val="005A2529"/>
    <w:rsid w:val="005A29AF"/>
    <w:rsid w:val="005A326C"/>
    <w:rsid w:val="005A39E6"/>
    <w:rsid w:val="005A42D1"/>
    <w:rsid w:val="005A4842"/>
    <w:rsid w:val="005A5879"/>
    <w:rsid w:val="005A5B56"/>
    <w:rsid w:val="005A6661"/>
    <w:rsid w:val="005A7F3A"/>
    <w:rsid w:val="005A7FB8"/>
    <w:rsid w:val="005B0273"/>
    <w:rsid w:val="005B08F0"/>
    <w:rsid w:val="005B0F54"/>
    <w:rsid w:val="005B1129"/>
    <w:rsid w:val="005B126B"/>
    <w:rsid w:val="005B14AE"/>
    <w:rsid w:val="005B18E8"/>
    <w:rsid w:val="005B1B57"/>
    <w:rsid w:val="005B2621"/>
    <w:rsid w:val="005B2FCB"/>
    <w:rsid w:val="005B31C3"/>
    <w:rsid w:val="005B3241"/>
    <w:rsid w:val="005B3BC1"/>
    <w:rsid w:val="005B4874"/>
    <w:rsid w:val="005B5186"/>
    <w:rsid w:val="005B5372"/>
    <w:rsid w:val="005B5A34"/>
    <w:rsid w:val="005B5C71"/>
    <w:rsid w:val="005B5F80"/>
    <w:rsid w:val="005B607A"/>
    <w:rsid w:val="005B64BA"/>
    <w:rsid w:val="005B7A17"/>
    <w:rsid w:val="005B7AEB"/>
    <w:rsid w:val="005C0461"/>
    <w:rsid w:val="005C0945"/>
    <w:rsid w:val="005C0DDD"/>
    <w:rsid w:val="005C1887"/>
    <w:rsid w:val="005C19A6"/>
    <w:rsid w:val="005C2234"/>
    <w:rsid w:val="005C235C"/>
    <w:rsid w:val="005C2A51"/>
    <w:rsid w:val="005C2CA9"/>
    <w:rsid w:val="005C2FEA"/>
    <w:rsid w:val="005C3AD3"/>
    <w:rsid w:val="005C49A4"/>
    <w:rsid w:val="005C58FB"/>
    <w:rsid w:val="005C5D80"/>
    <w:rsid w:val="005C6071"/>
    <w:rsid w:val="005C60D5"/>
    <w:rsid w:val="005C61B2"/>
    <w:rsid w:val="005C6323"/>
    <w:rsid w:val="005C64CF"/>
    <w:rsid w:val="005C65C4"/>
    <w:rsid w:val="005C6B77"/>
    <w:rsid w:val="005C6C9A"/>
    <w:rsid w:val="005C6ECA"/>
    <w:rsid w:val="005C7C46"/>
    <w:rsid w:val="005D073D"/>
    <w:rsid w:val="005D125A"/>
    <w:rsid w:val="005D1744"/>
    <w:rsid w:val="005D1BA0"/>
    <w:rsid w:val="005D1C83"/>
    <w:rsid w:val="005D1F8B"/>
    <w:rsid w:val="005D286D"/>
    <w:rsid w:val="005D4672"/>
    <w:rsid w:val="005D4EA1"/>
    <w:rsid w:val="005D4EE9"/>
    <w:rsid w:val="005D7254"/>
    <w:rsid w:val="005D7301"/>
    <w:rsid w:val="005D7613"/>
    <w:rsid w:val="005D790E"/>
    <w:rsid w:val="005D7C8D"/>
    <w:rsid w:val="005E1759"/>
    <w:rsid w:val="005E2062"/>
    <w:rsid w:val="005E3F7B"/>
    <w:rsid w:val="005E460A"/>
    <w:rsid w:val="005E57AB"/>
    <w:rsid w:val="005E644F"/>
    <w:rsid w:val="005E66EE"/>
    <w:rsid w:val="005E6F7A"/>
    <w:rsid w:val="005E6FDB"/>
    <w:rsid w:val="005F0282"/>
    <w:rsid w:val="005F0528"/>
    <w:rsid w:val="005F07B6"/>
    <w:rsid w:val="005F11EF"/>
    <w:rsid w:val="005F166D"/>
    <w:rsid w:val="005F1C48"/>
    <w:rsid w:val="005F3736"/>
    <w:rsid w:val="005F3780"/>
    <w:rsid w:val="005F411B"/>
    <w:rsid w:val="005F4191"/>
    <w:rsid w:val="005F598D"/>
    <w:rsid w:val="005F5C72"/>
    <w:rsid w:val="005F6B5C"/>
    <w:rsid w:val="005F6C02"/>
    <w:rsid w:val="005F6DE0"/>
    <w:rsid w:val="005F727D"/>
    <w:rsid w:val="005F7DB3"/>
    <w:rsid w:val="005F7FAF"/>
    <w:rsid w:val="006004B0"/>
    <w:rsid w:val="006011A3"/>
    <w:rsid w:val="00601702"/>
    <w:rsid w:val="00602266"/>
    <w:rsid w:val="0060229D"/>
    <w:rsid w:val="00603D00"/>
    <w:rsid w:val="00604BE3"/>
    <w:rsid w:val="00604CCA"/>
    <w:rsid w:val="00604DE9"/>
    <w:rsid w:val="00605CD1"/>
    <w:rsid w:val="0060653C"/>
    <w:rsid w:val="006067DC"/>
    <w:rsid w:val="00607E70"/>
    <w:rsid w:val="00611B6C"/>
    <w:rsid w:val="0061215B"/>
    <w:rsid w:val="00612455"/>
    <w:rsid w:val="00613288"/>
    <w:rsid w:val="006148C6"/>
    <w:rsid w:val="006149F4"/>
    <w:rsid w:val="00615DAB"/>
    <w:rsid w:val="00616093"/>
    <w:rsid w:val="00616CA4"/>
    <w:rsid w:val="00617281"/>
    <w:rsid w:val="00620146"/>
    <w:rsid w:val="0062031E"/>
    <w:rsid w:val="00620540"/>
    <w:rsid w:val="00620812"/>
    <w:rsid w:val="0062088E"/>
    <w:rsid w:val="00620B35"/>
    <w:rsid w:val="00621161"/>
    <w:rsid w:val="0062148D"/>
    <w:rsid w:val="0062150D"/>
    <w:rsid w:val="00621652"/>
    <w:rsid w:val="00621B22"/>
    <w:rsid w:val="00623133"/>
    <w:rsid w:val="006237AC"/>
    <w:rsid w:val="00623BB8"/>
    <w:rsid w:val="00623CE2"/>
    <w:rsid w:val="00623FCD"/>
    <w:rsid w:val="0062460C"/>
    <w:rsid w:val="0062467F"/>
    <w:rsid w:val="006247C9"/>
    <w:rsid w:val="006250DF"/>
    <w:rsid w:val="006257F9"/>
    <w:rsid w:val="00625DF8"/>
    <w:rsid w:val="0062662D"/>
    <w:rsid w:val="006269E0"/>
    <w:rsid w:val="00626A49"/>
    <w:rsid w:val="00626D97"/>
    <w:rsid w:val="006270F0"/>
    <w:rsid w:val="00627178"/>
    <w:rsid w:val="00627945"/>
    <w:rsid w:val="00627F0A"/>
    <w:rsid w:val="00631114"/>
    <w:rsid w:val="00631660"/>
    <w:rsid w:val="00632783"/>
    <w:rsid w:val="00632D93"/>
    <w:rsid w:val="00633034"/>
    <w:rsid w:val="006341A8"/>
    <w:rsid w:val="00634EE7"/>
    <w:rsid w:val="00634FD7"/>
    <w:rsid w:val="006354B7"/>
    <w:rsid w:val="00635F18"/>
    <w:rsid w:val="006361BF"/>
    <w:rsid w:val="00636B3A"/>
    <w:rsid w:val="0063704F"/>
    <w:rsid w:val="00637713"/>
    <w:rsid w:val="006401F2"/>
    <w:rsid w:val="006402BB"/>
    <w:rsid w:val="00640793"/>
    <w:rsid w:val="00640BF3"/>
    <w:rsid w:val="00641825"/>
    <w:rsid w:val="00641F22"/>
    <w:rsid w:val="006421CD"/>
    <w:rsid w:val="00642558"/>
    <w:rsid w:val="00642571"/>
    <w:rsid w:val="00642E4E"/>
    <w:rsid w:val="00643503"/>
    <w:rsid w:val="00643660"/>
    <w:rsid w:val="0064395A"/>
    <w:rsid w:val="0064527A"/>
    <w:rsid w:val="006454FC"/>
    <w:rsid w:val="006469A9"/>
    <w:rsid w:val="00646B76"/>
    <w:rsid w:val="00647125"/>
    <w:rsid w:val="006471BD"/>
    <w:rsid w:val="006472C8"/>
    <w:rsid w:val="006475DA"/>
    <w:rsid w:val="006505A3"/>
    <w:rsid w:val="00650D34"/>
    <w:rsid w:val="00650E1D"/>
    <w:rsid w:val="00650F20"/>
    <w:rsid w:val="00652761"/>
    <w:rsid w:val="00652880"/>
    <w:rsid w:val="006538A3"/>
    <w:rsid w:val="00653D85"/>
    <w:rsid w:val="00654130"/>
    <w:rsid w:val="0065470C"/>
    <w:rsid w:val="00654D4A"/>
    <w:rsid w:val="00655D14"/>
    <w:rsid w:val="0065684F"/>
    <w:rsid w:val="00656F9D"/>
    <w:rsid w:val="00657586"/>
    <w:rsid w:val="00657863"/>
    <w:rsid w:val="00657ADF"/>
    <w:rsid w:val="00660040"/>
    <w:rsid w:val="006609F8"/>
    <w:rsid w:val="0066103A"/>
    <w:rsid w:val="00661829"/>
    <w:rsid w:val="006619FF"/>
    <w:rsid w:val="006626D6"/>
    <w:rsid w:val="006667CA"/>
    <w:rsid w:val="00666801"/>
    <w:rsid w:val="00666988"/>
    <w:rsid w:val="0066730C"/>
    <w:rsid w:val="00667EB1"/>
    <w:rsid w:val="00670890"/>
    <w:rsid w:val="00670D01"/>
    <w:rsid w:val="006717E2"/>
    <w:rsid w:val="0067180A"/>
    <w:rsid w:val="00671D3A"/>
    <w:rsid w:val="00672D3A"/>
    <w:rsid w:val="00672FAD"/>
    <w:rsid w:val="00673709"/>
    <w:rsid w:val="0067377B"/>
    <w:rsid w:val="0067428A"/>
    <w:rsid w:val="00674C18"/>
    <w:rsid w:val="00674ED6"/>
    <w:rsid w:val="00675DAC"/>
    <w:rsid w:val="00676339"/>
    <w:rsid w:val="00676642"/>
    <w:rsid w:val="00676878"/>
    <w:rsid w:val="00676E1A"/>
    <w:rsid w:val="006778D4"/>
    <w:rsid w:val="0068018F"/>
    <w:rsid w:val="0068116B"/>
    <w:rsid w:val="0068182E"/>
    <w:rsid w:val="00681B9B"/>
    <w:rsid w:val="0068243C"/>
    <w:rsid w:val="00683190"/>
    <w:rsid w:val="00683479"/>
    <w:rsid w:val="00683489"/>
    <w:rsid w:val="006838BD"/>
    <w:rsid w:val="006840F6"/>
    <w:rsid w:val="006846A7"/>
    <w:rsid w:val="00684973"/>
    <w:rsid w:val="00684D51"/>
    <w:rsid w:val="006850F2"/>
    <w:rsid w:val="00685E79"/>
    <w:rsid w:val="00686045"/>
    <w:rsid w:val="00686AB7"/>
    <w:rsid w:val="00687244"/>
    <w:rsid w:val="00690B5C"/>
    <w:rsid w:val="00690CC6"/>
    <w:rsid w:val="00690E36"/>
    <w:rsid w:val="006910C6"/>
    <w:rsid w:val="0069144D"/>
    <w:rsid w:val="00692490"/>
    <w:rsid w:val="00692C37"/>
    <w:rsid w:val="0069311F"/>
    <w:rsid w:val="0069354D"/>
    <w:rsid w:val="00693F96"/>
    <w:rsid w:val="00694764"/>
    <w:rsid w:val="00694D06"/>
    <w:rsid w:val="0069739C"/>
    <w:rsid w:val="006A00D2"/>
    <w:rsid w:val="006A0C93"/>
    <w:rsid w:val="006A142F"/>
    <w:rsid w:val="006A1504"/>
    <w:rsid w:val="006A1638"/>
    <w:rsid w:val="006A1759"/>
    <w:rsid w:val="006A1A3C"/>
    <w:rsid w:val="006A2178"/>
    <w:rsid w:val="006A2447"/>
    <w:rsid w:val="006A2720"/>
    <w:rsid w:val="006A2781"/>
    <w:rsid w:val="006A27AC"/>
    <w:rsid w:val="006A2B05"/>
    <w:rsid w:val="006A2DF8"/>
    <w:rsid w:val="006A3365"/>
    <w:rsid w:val="006A428C"/>
    <w:rsid w:val="006A4CCC"/>
    <w:rsid w:val="006A5120"/>
    <w:rsid w:val="006A524E"/>
    <w:rsid w:val="006A58F3"/>
    <w:rsid w:val="006A6639"/>
    <w:rsid w:val="006A72B5"/>
    <w:rsid w:val="006B02D9"/>
    <w:rsid w:val="006B0EEE"/>
    <w:rsid w:val="006B1089"/>
    <w:rsid w:val="006B1458"/>
    <w:rsid w:val="006B24A6"/>
    <w:rsid w:val="006B2C1E"/>
    <w:rsid w:val="006B2F80"/>
    <w:rsid w:val="006B4461"/>
    <w:rsid w:val="006B5592"/>
    <w:rsid w:val="006B5B26"/>
    <w:rsid w:val="006B66DD"/>
    <w:rsid w:val="006B687C"/>
    <w:rsid w:val="006B6B4E"/>
    <w:rsid w:val="006B6E66"/>
    <w:rsid w:val="006B6FB8"/>
    <w:rsid w:val="006B7D15"/>
    <w:rsid w:val="006C0007"/>
    <w:rsid w:val="006C088A"/>
    <w:rsid w:val="006C089D"/>
    <w:rsid w:val="006C1923"/>
    <w:rsid w:val="006C1E88"/>
    <w:rsid w:val="006C433D"/>
    <w:rsid w:val="006C4A6D"/>
    <w:rsid w:val="006C5261"/>
    <w:rsid w:val="006C541B"/>
    <w:rsid w:val="006C61D0"/>
    <w:rsid w:val="006C785C"/>
    <w:rsid w:val="006C7D48"/>
    <w:rsid w:val="006D06C8"/>
    <w:rsid w:val="006D1064"/>
    <w:rsid w:val="006D2D45"/>
    <w:rsid w:val="006D3890"/>
    <w:rsid w:val="006D453C"/>
    <w:rsid w:val="006D4AFF"/>
    <w:rsid w:val="006D5124"/>
    <w:rsid w:val="006D56B2"/>
    <w:rsid w:val="006D5B17"/>
    <w:rsid w:val="006D5DB5"/>
    <w:rsid w:val="006D654A"/>
    <w:rsid w:val="006D76B5"/>
    <w:rsid w:val="006E0614"/>
    <w:rsid w:val="006E273A"/>
    <w:rsid w:val="006E2B6C"/>
    <w:rsid w:val="006E2C86"/>
    <w:rsid w:val="006E329F"/>
    <w:rsid w:val="006E35F5"/>
    <w:rsid w:val="006E3945"/>
    <w:rsid w:val="006E3EF7"/>
    <w:rsid w:val="006E4EF2"/>
    <w:rsid w:val="006E5165"/>
    <w:rsid w:val="006E5297"/>
    <w:rsid w:val="006E5A06"/>
    <w:rsid w:val="006E6234"/>
    <w:rsid w:val="006E6B33"/>
    <w:rsid w:val="006E6EC4"/>
    <w:rsid w:val="006E705A"/>
    <w:rsid w:val="006E73CA"/>
    <w:rsid w:val="006E7419"/>
    <w:rsid w:val="006E7791"/>
    <w:rsid w:val="006E7D6C"/>
    <w:rsid w:val="006E7D76"/>
    <w:rsid w:val="006F0311"/>
    <w:rsid w:val="006F177C"/>
    <w:rsid w:val="006F2675"/>
    <w:rsid w:val="006F2F69"/>
    <w:rsid w:val="006F3C99"/>
    <w:rsid w:val="006F4069"/>
    <w:rsid w:val="006F4B93"/>
    <w:rsid w:val="006F52A1"/>
    <w:rsid w:val="006F5712"/>
    <w:rsid w:val="006F5E7C"/>
    <w:rsid w:val="00700FA2"/>
    <w:rsid w:val="007014AE"/>
    <w:rsid w:val="007020AE"/>
    <w:rsid w:val="00702EC0"/>
    <w:rsid w:val="00703185"/>
    <w:rsid w:val="0070390D"/>
    <w:rsid w:val="00703B6E"/>
    <w:rsid w:val="00703C82"/>
    <w:rsid w:val="00704741"/>
    <w:rsid w:val="00705F3C"/>
    <w:rsid w:val="007068E6"/>
    <w:rsid w:val="00706EF7"/>
    <w:rsid w:val="0070725B"/>
    <w:rsid w:val="00707FA3"/>
    <w:rsid w:val="0071027C"/>
    <w:rsid w:val="0071090E"/>
    <w:rsid w:val="0071157F"/>
    <w:rsid w:val="007118DD"/>
    <w:rsid w:val="00712308"/>
    <w:rsid w:val="00712B65"/>
    <w:rsid w:val="00712E2F"/>
    <w:rsid w:val="00713622"/>
    <w:rsid w:val="00713868"/>
    <w:rsid w:val="00713C17"/>
    <w:rsid w:val="0071457C"/>
    <w:rsid w:val="00714588"/>
    <w:rsid w:val="0071491F"/>
    <w:rsid w:val="00714A3A"/>
    <w:rsid w:val="00714C3D"/>
    <w:rsid w:val="00714F4B"/>
    <w:rsid w:val="00715951"/>
    <w:rsid w:val="007159B8"/>
    <w:rsid w:val="00715DB0"/>
    <w:rsid w:val="007166D6"/>
    <w:rsid w:val="00716D82"/>
    <w:rsid w:val="00716DB2"/>
    <w:rsid w:val="00717492"/>
    <w:rsid w:val="007176D2"/>
    <w:rsid w:val="00717AFA"/>
    <w:rsid w:val="00717DBA"/>
    <w:rsid w:val="00720184"/>
    <w:rsid w:val="007203EB"/>
    <w:rsid w:val="00720F7E"/>
    <w:rsid w:val="0072112D"/>
    <w:rsid w:val="007212F5"/>
    <w:rsid w:val="0072172F"/>
    <w:rsid w:val="00722267"/>
    <w:rsid w:val="00722A18"/>
    <w:rsid w:val="00722D26"/>
    <w:rsid w:val="00722D3D"/>
    <w:rsid w:val="00722D83"/>
    <w:rsid w:val="0072512B"/>
    <w:rsid w:val="007257D3"/>
    <w:rsid w:val="00725B16"/>
    <w:rsid w:val="00725EB5"/>
    <w:rsid w:val="0072603A"/>
    <w:rsid w:val="00726714"/>
    <w:rsid w:val="007277A6"/>
    <w:rsid w:val="007308AA"/>
    <w:rsid w:val="00730B6B"/>
    <w:rsid w:val="00733041"/>
    <w:rsid w:val="00736812"/>
    <w:rsid w:val="00736C20"/>
    <w:rsid w:val="00737601"/>
    <w:rsid w:val="00737853"/>
    <w:rsid w:val="00737B3F"/>
    <w:rsid w:val="00737D49"/>
    <w:rsid w:val="0074017F"/>
    <w:rsid w:val="007403A7"/>
    <w:rsid w:val="00741584"/>
    <w:rsid w:val="00741D53"/>
    <w:rsid w:val="0074277B"/>
    <w:rsid w:val="007431C8"/>
    <w:rsid w:val="007437A7"/>
    <w:rsid w:val="007440DB"/>
    <w:rsid w:val="00744B61"/>
    <w:rsid w:val="00746424"/>
    <w:rsid w:val="0074759F"/>
    <w:rsid w:val="00747653"/>
    <w:rsid w:val="00747993"/>
    <w:rsid w:val="00747C32"/>
    <w:rsid w:val="00750095"/>
    <w:rsid w:val="00751694"/>
    <w:rsid w:val="00751836"/>
    <w:rsid w:val="00751F84"/>
    <w:rsid w:val="00752809"/>
    <w:rsid w:val="00752C39"/>
    <w:rsid w:val="00752C44"/>
    <w:rsid w:val="00753BD4"/>
    <w:rsid w:val="00753C41"/>
    <w:rsid w:val="0075406B"/>
    <w:rsid w:val="0075483B"/>
    <w:rsid w:val="0075486F"/>
    <w:rsid w:val="00755CD5"/>
    <w:rsid w:val="007568C6"/>
    <w:rsid w:val="00756D59"/>
    <w:rsid w:val="00756D64"/>
    <w:rsid w:val="0075734F"/>
    <w:rsid w:val="007576CB"/>
    <w:rsid w:val="0075782A"/>
    <w:rsid w:val="00757BE7"/>
    <w:rsid w:val="00757C5D"/>
    <w:rsid w:val="007604E2"/>
    <w:rsid w:val="00760880"/>
    <w:rsid w:val="00761054"/>
    <w:rsid w:val="00761688"/>
    <w:rsid w:val="00761BF4"/>
    <w:rsid w:val="00762B62"/>
    <w:rsid w:val="00762F5A"/>
    <w:rsid w:val="007637AB"/>
    <w:rsid w:val="00763906"/>
    <w:rsid w:val="00763985"/>
    <w:rsid w:val="00763C99"/>
    <w:rsid w:val="00765DE9"/>
    <w:rsid w:val="00765F7D"/>
    <w:rsid w:val="00766817"/>
    <w:rsid w:val="00766BE4"/>
    <w:rsid w:val="007678E1"/>
    <w:rsid w:val="00767DF6"/>
    <w:rsid w:val="0077040A"/>
    <w:rsid w:val="0077055D"/>
    <w:rsid w:val="00770C9E"/>
    <w:rsid w:val="00770F77"/>
    <w:rsid w:val="00770FD3"/>
    <w:rsid w:val="00771818"/>
    <w:rsid w:val="00771B56"/>
    <w:rsid w:val="00771B62"/>
    <w:rsid w:val="00772584"/>
    <w:rsid w:val="00772735"/>
    <w:rsid w:val="00772B8C"/>
    <w:rsid w:val="00772F69"/>
    <w:rsid w:val="00773428"/>
    <w:rsid w:val="0077385D"/>
    <w:rsid w:val="00774B34"/>
    <w:rsid w:val="007754A3"/>
    <w:rsid w:val="0077582B"/>
    <w:rsid w:val="00776773"/>
    <w:rsid w:val="00776FB8"/>
    <w:rsid w:val="00777C24"/>
    <w:rsid w:val="0078077D"/>
    <w:rsid w:val="007813C2"/>
    <w:rsid w:val="00782001"/>
    <w:rsid w:val="007820FF"/>
    <w:rsid w:val="0078338C"/>
    <w:rsid w:val="0078344C"/>
    <w:rsid w:val="007840D5"/>
    <w:rsid w:val="00784BBF"/>
    <w:rsid w:val="007855D9"/>
    <w:rsid w:val="00785A9B"/>
    <w:rsid w:val="007862E2"/>
    <w:rsid w:val="00786CF8"/>
    <w:rsid w:val="00787D99"/>
    <w:rsid w:val="00790386"/>
    <w:rsid w:val="0079076A"/>
    <w:rsid w:val="007907C4"/>
    <w:rsid w:val="0079086A"/>
    <w:rsid w:val="007908DD"/>
    <w:rsid w:val="00790E0F"/>
    <w:rsid w:val="00790E19"/>
    <w:rsid w:val="00791D59"/>
    <w:rsid w:val="00792A2C"/>
    <w:rsid w:val="00793078"/>
    <w:rsid w:val="00793174"/>
    <w:rsid w:val="007934D4"/>
    <w:rsid w:val="00793A6B"/>
    <w:rsid w:val="00793F5B"/>
    <w:rsid w:val="007944AD"/>
    <w:rsid w:val="00795628"/>
    <w:rsid w:val="00796448"/>
    <w:rsid w:val="00796599"/>
    <w:rsid w:val="00796603"/>
    <w:rsid w:val="007968B8"/>
    <w:rsid w:val="0079791D"/>
    <w:rsid w:val="007A2059"/>
    <w:rsid w:val="007A32FB"/>
    <w:rsid w:val="007A3874"/>
    <w:rsid w:val="007A40FD"/>
    <w:rsid w:val="007A41CE"/>
    <w:rsid w:val="007A4478"/>
    <w:rsid w:val="007A4C68"/>
    <w:rsid w:val="007A4D22"/>
    <w:rsid w:val="007A529A"/>
    <w:rsid w:val="007A582B"/>
    <w:rsid w:val="007A5864"/>
    <w:rsid w:val="007A5B57"/>
    <w:rsid w:val="007A6484"/>
    <w:rsid w:val="007A700C"/>
    <w:rsid w:val="007A7097"/>
    <w:rsid w:val="007A7348"/>
    <w:rsid w:val="007A75A2"/>
    <w:rsid w:val="007B0638"/>
    <w:rsid w:val="007B0AE0"/>
    <w:rsid w:val="007B1724"/>
    <w:rsid w:val="007B3B29"/>
    <w:rsid w:val="007B42C8"/>
    <w:rsid w:val="007B4301"/>
    <w:rsid w:val="007B613B"/>
    <w:rsid w:val="007B63D9"/>
    <w:rsid w:val="007B6928"/>
    <w:rsid w:val="007B6B6A"/>
    <w:rsid w:val="007B6C17"/>
    <w:rsid w:val="007B73A3"/>
    <w:rsid w:val="007B7619"/>
    <w:rsid w:val="007C02EB"/>
    <w:rsid w:val="007C03A5"/>
    <w:rsid w:val="007C0877"/>
    <w:rsid w:val="007C0D86"/>
    <w:rsid w:val="007C12C7"/>
    <w:rsid w:val="007C16D4"/>
    <w:rsid w:val="007C2234"/>
    <w:rsid w:val="007C2F09"/>
    <w:rsid w:val="007C34EB"/>
    <w:rsid w:val="007C397B"/>
    <w:rsid w:val="007C4893"/>
    <w:rsid w:val="007C4CE9"/>
    <w:rsid w:val="007C517C"/>
    <w:rsid w:val="007C62BE"/>
    <w:rsid w:val="007C6517"/>
    <w:rsid w:val="007C6FCB"/>
    <w:rsid w:val="007C76F8"/>
    <w:rsid w:val="007C7787"/>
    <w:rsid w:val="007D0B93"/>
    <w:rsid w:val="007D0D4C"/>
    <w:rsid w:val="007D2191"/>
    <w:rsid w:val="007D3048"/>
    <w:rsid w:val="007D3105"/>
    <w:rsid w:val="007D3918"/>
    <w:rsid w:val="007D3A34"/>
    <w:rsid w:val="007D6759"/>
    <w:rsid w:val="007D69CB"/>
    <w:rsid w:val="007D7393"/>
    <w:rsid w:val="007D7D43"/>
    <w:rsid w:val="007E01CA"/>
    <w:rsid w:val="007E0B09"/>
    <w:rsid w:val="007E103D"/>
    <w:rsid w:val="007E1506"/>
    <w:rsid w:val="007E33D8"/>
    <w:rsid w:val="007E37A4"/>
    <w:rsid w:val="007E3853"/>
    <w:rsid w:val="007E3FFC"/>
    <w:rsid w:val="007E42CF"/>
    <w:rsid w:val="007E4B0E"/>
    <w:rsid w:val="007E50F5"/>
    <w:rsid w:val="007E518D"/>
    <w:rsid w:val="007E670F"/>
    <w:rsid w:val="007E69FC"/>
    <w:rsid w:val="007E7487"/>
    <w:rsid w:val="007F13BF"/>
    <w:rsid w:val="007F1437"/>
    <w:rsid w:val="007F1CE0"/>
    <w:rsid w:val="007F2077"/>
    <w:rsid w:val="007F23DF"/>
    <w:rsid w:val="007F5BFB"/>
    <w:rsid w:val="007F5E01"/>
    <w:rsid w:val="007F6539"/>
    <w:rsid w:val="0080092F"/>
    <w:rsid w:val="0080199C"/>
    <w:rsid w:val="0080245A"/>
    <w:rsid w:val="00802CE7"/>
    <w:rsid w:val="0080338C"/>
    <w:rsid w:val="008047CE"/>
    <w:rsid w:val="008051DE"/>
    <w:rsid w:val="008062D5"/>
    <w:rsid w:val="008075C4"/>
    <w:rsid w:val="0080793B"/>
    <w:rsid w:val="00810477"/>
    <w:rsid w:val="0081057E"/>
    <w:rsid w:val="00810640"/>
    <w:rsid w:val="00811F67"/>
    <w:rsid w:val="008126E3"/>
    <w:rsid w:val="008129D3"/>
    <w:rsid w:val="00812A8C"/>
    <w:rsid w:val="0081350C"/>
    <w:rsid w:val="008140EF"/>
    <w:rsid w:val="00814EB5"/>
    <w:rsid w:val="008150DF"/>
    <w:rsid w:val="00815192"/>
    <w:rsid w:val="0081581D"/>
    <w:rsid w:val="00815967"/>
    <w:rsid w:val="00815B8F"/>
    <w:rsid w:val="00815D4D"/>
    <w:rsid w:val="00817121"/>
    <w:rsid w:val="00817471"/>
    <w:rsid w:val="00817DBD"/>
    <w:rsid w:val="00817E25"/>
    <w:rsid w:val="00820239"/>
    <w:rsid w:val="00820BCB"/>
    <w:rsid w:val="0082115E"/>
    <w:rsid w:val="00821616"/>
    <w:rsid w:val="0082173F"/>
    <w:rsid w:val="00821E14"/>
    <w:rsid w:val="008223B3"/>
    <w:rsid w:val="0082282B"/>
    <w:rsid w:val="008232DE"/>
    <w:rsid w:val="00823582"/>
    <w:rsid w:val="00823721"/>
    <w:rsid w:val="0082433A"/>
    <w:rsid w:val="0082457D"/>
    <w:rsid w:val="0082532B"/>
    <w:rsid w:val="00825FBC"/>
    <w:rsid w:val="00826542"/>
    <w:rsid w:val="00826DC2"/>
    <w:rsid w:val="00826FF0"/>
    <w:rsid w:val="00827C55"/>
    <w:rsid w:val="00827F9D"/>
    <w:rsid w:val="0083034C"/>
    <w:rsid w:val="008310E7"/>
    <w:rsid w:val="00831126"/>
    <w:rsid w:val="008314ED"/>
    <w:rsid w:val="00831E4B"/>
    <w:rsid w:val="00832052"/>
    <w:rsid w:val="00832954"/>
    <w:rsid w:val="00833D90"/>
    <w:rsid w:val="00833FBF"/>
    <w:rsid w:val="0083486A"/>
    <w:rsid w:val="00834C41"/>
    <w:rsid w:val="00834D9C"/>
    <w:rsid w:val="0083575E"/>
    <w:rsid w:val="00835EAC"/>
    <w:rsid w:val="00836141"/>
    <w:rsid w:val="00836A94"/>
    <w:rsid w:val="00836C51"/>
    <w:rsid w:val="008374CF"/>
    <w:rsid w:val="00837E3A"/>
    <w:rsid w:val="008411A6"/>
    <w:rsid w:val="00841404"/>
    <w:rsid w:val="00841CA6"/>
    <w:rsid w:val="00841CCF"/>
    <w:rsid w:val="00841E32"/>
    <w:rsid w:val="008429DB"/>
    <w:rsid w:val="008430FC"/>
    <w:rsid w:val="00843145"/>
    <w:rsid w:val="00843EC1"/>
    <w:rsid w:val="00844FD6"/>
    <w:rsid w:val="008452B4"/>
    <w:rsid w:val="008453B9"/>
    <w:rsid w:val="00845C66"/>
    <w:rsid w:val="00845D1C"/>
    <w:rsid w:val="008464F3"/>
    <w:rsid w:val="00846B5E"/>
    <w:rsid w:val="00846F64"/>
    <w:rsid w:val="00847B20"/>
    <w:rsid w:val="00847E8F"/>
    <w:rsid w:val="00850176"/>
    <w:rsid w:val="008502F2"/>
    <w:rsid w:val="00850B11"/>
    <w:rsid w:val="00850CDE"/>
    <w:rsid w:val="00850E2C"/>
    <w:rsid w:val="008513FF"/>
    <w:rsid w:val="0085190F"/>
    <w:rsid w:val="00851ADB"/>
    <w:rsid w:val="0085235E"/>
    <w:rsid w:val="00852451"/>
    <w:rsid w:val="00852870"/>
    <w:rsid w:val="00852ED7"/>
    <w:rsid w:val="008531BD"/>
    <w:rsid w:val="008534E7"/>
    <w:rsid w:val="00853C8B"/>
    <w:rsid w:val="00854A6D"/>
    <w:rsid w:val="00854C42"/>
    <w:rsid w:val="00856D7F"/>
    <w:rsid w:val="0085722D"/>
    <w:rsid w:val="00862FED"/>
    <w:rsid w:val="0086365A"/>
    <w:rsid w:val="008639DD"/>
    <w:rsid w:val="00863F79"/>
    <w:rsid w:val="00864122"/>
    <w:rsid w:val="008642AE"/>
    <w:rsid w:val="00864C6A"/>
    <w:rsid w:val="00865A17"/>
    <w:rsid w:val="00867748"/>
    <w:rsid w:val="008679F5"/>
    <w:rsid w:val="00867B5D"/>
    <w:rsid w:val="00870F0C"/>
    <w:rsid w:val="008710F7"/>
    <w:rsid w:val="00872BFE"/>
    <w:rsid w:val="00874F25"/>
    <w:rsid w:val="00875248"/>
    <w:rsid w:val="00875735"/>
    <w:rsid w:val="008759C9"/>
    <w:rsid w:val="00875FFB"/>
    <w:rsid w:val="008762EF"/>
    <w:rsid w:val="008770C0"/>
    <w:rsid w:val="008774C3"/>
    <w:rsid w:val="00877B8B"/>
    <w:rsid w:val="00877FD6"/>
    <w:rsid w:val="008802AD"/>
    <w:rsid w:val="008809E3"/>
    <w:rsid w:val="0088108A"/>
    <w:rsid w:val="00881C79"/>
    <w:rsid w:val="00881E2E"/>
    <w:rsid w:val="008822F3"/>
    <w:rsid w:val="00882434"/>
    <w:rsid w:val="00882A3B"/>
    <w:rsid w:val="0088409F"/>
    <w:rsid w:val="00885D74"/>
    <w:rsid w:val="00886579"/>
    <w:rsid w:val="00887662"/>
    <w:rsid w:val="0088796D"/>
    <w:rsid w:val="00890D24"/>
    <w:rsid w:val="00890D5D"/>
    <w:rsid w:val="008918F5"/>
    <w:rsid w:val="00891B66"/>
    <w:rsid w:val="00892F58"/>
    <w:rsid w:val="00893955"/>
    <w:rsid w:val="00893FBC"/>
    <w:rsid w:val="00894449"/>
    <w:rsid w:val="00894AD8"/>
    <w:rsid w:val="00894E35"/>
    <w:rsid w:val="00894FF0"/>
    <w:rsid w:val="00895218"/>
    <w:rsid w:val="008959A4"/>
    <w:rsid w:val="00896C47"/>
    <w:rsid w:val="0089720A"/>
    <w:rsid w:val="008972F0"/>
    <w:rsid w:val="00897D23"/>
    <w:rsid w:val="008A0F5A"/>
    <w:rsid w:val="008A1A14"/>
    <w:rsid w:val="008A1BC8"/>
    <w:rsid w:val="008A2524"/>
    <w:rsid w:val="008A64D7"/>
    <w:rsid w:val="008A64F0"/>
    <w:rsid w:val="008A6991"/>
    <w:rsid w:val="008A6D05"/>
    <w:rsid w:val="008A76A7"/>
    <w:rsid w:val="008A7857"/>
    <w:rsid w:val="008B01AE"/>
    <w:rsid w:val="008B2971"/>
    <w:rsid w:val="008B2EAC"/>
    <w:rsid w:val="008B34AA"/>
    <w:rsid w:val="008B359B"/>
    <w:rsid w:val="008B3C38"/>
    <w:rsid w:val="008B3EBB"/>
    <w:rsid w:val="008B41BA"/>
    <w:rsid w:val="008B4374"/>
    <w:rsid w:val="008B4A0C"/>
    <w:rsid w:val="008B4A87"/>
    <w:rsid w:val="008B4A9F"/>
    <w:rsid w:val="008B4F90"/>
    <w:rsid w:val="008B50B1"/>
    <w:rsid w:val="008B52B8"/>
    <w:rsid w:val="008B5CAF"/>
    <w:rsid w:val="008B66E0"/>
    <w:rsid w:val="008B70D7"/>
    <w:rsid w:val="008B76CC"/>
    <w:rsid w:val="008B7DFA"/>
    <w:rsid w:val="008C05B1"/>
    <w:rsid w:val="008C0BC1"/>
    <w:rsid w:val="008C0D8F"/>
    <w:rsid w:val="008C1AE7"/>
    <w:rsid w:val="008C402C"/>
    <w:rsid w:val="008C5B6F"/>
    <w:rsid w:val="008C5DD3"/>
    <w:rsid w:val="008C5F59"/>
    <w:rsid w:val="008C6196"/>
    <w:rsid w:val="008C6425"/>
    <w:rsid w:val="008C6836"/>
    <w:rsid w:val="008C6DE2"/>
    <w:rsid w:val="008C76EA"/>
    <w:rsid w:val="008C7A28"/>
    <w:rsid w:val="008C7E4E"/>
    <w:rsid w:val="008D0448"/>
    <w:rsid w:val="008D0F46"/>
    <w:rsid w:val="008D1B3A"/>
    <w:rsid w:val="008D26D0"/>
    <w:rsid w:val="008D2862"/>
    <w:rsid w:val="008D33E6"/>
    <w:rsid w:val="008D346E"/>
    <w:rsid w:val="008D3B53"/>
    <w:rsid w:val="008D3B9B"/>
    <w:rsid w:val="008D56B2"/>
    <w:rsid w:val="008D5E02"/>
    <w:rsid w:val="008D63D6"/>
    <w:rsid w:val="008D70C2"/>
    <w:rsid w:val="008D76C9"/>
    <w:rsid w:val="008D78EE"/>
    <w:rsid w:val="008D7A56"/>
    <w:rsid w:val="008D7DCB"/>
    <w:rsid w:val="008E04D3"/>
    <w:rsid w:val="008E05FD"/>
    <w:rsid w:val="008E07A1"/>
    <w:rsid w:val="008E085A"/>
    <w:rsid w:val="008E10D9"/>
    <w:rsid w:val="008E141B"/>
    <w:rsid w:val="008E1456"/>
    <w:rsid w:val="008E1FCA"/>
    <w:rsid w:val="008E2181"/>
    <w:rsid w:val="008E2465"/>
    <w:rsid w:val="008E29CA"/>
    <w:rsid w:val="008E312B"/>
    <w:rsid w:val="008E313B"/>
    <w:rsid w:val="008E3887"/>
    <w:rsid w:val="008E3C2A"/>
    <w:rsid w:val="008E4750"/>
    <w:rsid w:val="008E58A8"/>
    <w:rsid w:val="008E5A56"/>
    <w:rsid w:val="008E6249"/>
    <w:rsid w:val="008E6F6D"/>
    <w:rsid w:val="008F111F"/>
    <w:rsid w:val="008F17F5"/>
    <w:rsid w:val="008F1851"/>
    <w:rsid w:val="008F1CC1"/>
    <w:rsid w:val="008F2C1B"/>
    <w:rsid w:val="008F2E3D"/>
    <w:rsid w:val="008F30FF"/>
    <w:rsid w:val="008F348F"/>
    <w:rsid w:val="008F35C3"/>
    <w:rsid w:val="008F3768"/>
    <w:rsid w:val="008F3BBE"/>
    <w:rsid w:val="008F49BA"/>
    <w:rsid w:val="008F504C"/>
    <w:rsid w:val="008F66C2"/>
    <w:rsid w:val="008F700D"/>
    <w:rsid w:val="008F724D"/>
    <w:rsid w:val="008F724E"/>
    <w:rsid w:val="008F74B4"/>
    <w:rsid w:val="008F772E"/>
    <w:rsid w:val="008F7EC7"/>
    <w:rsid w:val="00900476"/>
    <w:rsid w:val="009006C9"/>
    <w:rsid w:val="009008A7"/>
    <w:rsid w:val="00900FB4"/>
    <w:rsid w:val="00901C14"/>
    <w:rsid w:val="00902201"/>
    <w:rsid w:val="00903036"/>
    <w:rsid w:val="00903394"/>
    <w:rsid w:val="009035BE"/>
    <w:rsid w:val="009039F4"/>
    <w:rsid w:val="0090429B"/>
    <w:rsid w:val="0090468D"/>
    <w:rsid w:val="00904770"/>
    <w:rsid w:val="00904792"/>
    <w:rsid w:val="00905222"/>
    <w:rsid w:val="00905369"/>
    <w:rsid w:val="00906BBF"/>
    <w:rsid w:val="00906ECA"/>
    <w:rsid w:val="00907762"/>
    <w:rsid w:val="00907C29"/>
    <w:rsid w:val="00907EE9"/>
    <w:rsid w:val="009114D6"/>
    <w:rsid w:val="00911C9C"/>
    <w:rsid w:val="009121F4"/>
    <w:rsid w:val="00912427"/>
    <w:rsid w:val="00912590"/>
    <w:rsid w:val="00912E7B"/>
    <w:rsid w:val="00913936"/>
    <w:rsid w:val="00913946"/>
    <w:rsid w:val="00914529"/>
    <w:rsid w:val="00915F9D"/>
    <w:rsid w:val="00916089"/>
    <w:rsid w:val="009171E3"/>
    <w:rsid w:val="0091782D"/>
    <w:rsid w:val="0092090B"/>
    <w:rsid w:val="0092179C"/>
    <w:rsid w:val="00921F88"/>
    <w:rsid w:val="009222AE"/>
    <w:rsid w:val="009232F9"/>
    <w:rsid w:val="00923A93"/>
    <w:rsid w:val="00924E67"/>
    <w:rsid w:val="00925463"/>
    <w:rsid w:val="00925F99"/>
    <w:rsid w:val="009261E0"/>
    <w:rsid w:val="0092639C"/>
    <w:rsid w:val="009264F8"/>
    <w:rsid w:val="00927AC5"/>
    <w:rsid w:val="00930315"/>
    <w:rsid w:val="00930363"/>
    <w:rsid w:val="00930FA5"/>
    <w:rsid w:val="00931592"/>
    <w:rsid w:val="0093223F"/>
    <w:rsid w:val="009323BA"/>
    <w:rsid w:val="00932452"/>
    <w:rsid w:val="00932C53"/>
    <w:rsid w:val="009331EC"/>
    <w:rsid w:val="009336C6"/>
    <w:rsid w:val="00933BEF"/>
    <w:rsid w:val="00933C2E"/>
    <w:rsid w:val="00933DF1"/>
    <w:rsid w:val="00933E9B"/>
    <w:rsid w:val="00934306"/>
    <w:rsid w:val="0093440A"/>
    <w:rsid w:val="00934B12"/>
    <w:rsid w:val="00934DD5"/>
    <w:rsid w:val="00936879"/>
    <w:rsid w:val="00936FE3"/>
    <w:rsid w:val="0093714A"/>
    <w:rsid w:val="00940122"/>
    <w:rsid w:val="00940481"/>
    <w:rsid w:val="009404B3"/>
    <w:rsid w:val="00941543"/>
    <w:rsid w:val="00941A48"/>
    <w:rsid w:val="00942300"/>
    <w:rsid w:val="00943BA9"/>
    <w:rsid w:val="00943F3C"/>
    <w:rsid w:val="009442AD"/>
    <w:rsid w:val="009457AA"/>
    <w:rsid w:val="00945C60"/>
    <w:rsid w:val="00946ADF"/>
    <w:rsid w:val="009472D1"/>
    <w:rsid w:val="009475BF"/>
    <w:rsid w:val="00950639"/>
    <w:rsid w:val="00950A27"/>
    <w:rsid w:val="00950EF9"/>
    <w:rsid w:val="00951B6F"/>
    <w:rsid w:val="00951D83"/>
    <w:rsid w:val="00952BA3"/>
    <w:rsid w:val="00954052"/>
    <w:rsid w:val="0095408D"/>
    <w:rsid w:val="00954E37"/>
    <w:rsid w:val="009553E0"/>
    <w:rsid w:val="009556A7"/>
    <w:rsid w:val="00955C9B"/>
    <w:rsid w:val="009562D7"/>
    <w:rsid w:val="00956C0E"/>
    <w:rsid w:val="00956D17"/>
    <w:rsid w:val="00957244"/>
    <w:rsid w:val="009572AB"/>
    <w:rsid w:val="0095762E"/>
    <w:rsid w:val="00960B7B"/>
    <w:rsid w:val="00960F3A"/>
    <w:rsid w:val="009628C2"/>
    <w:rsid w:val="0096302E"/>
    <w:rsid w:val="00963C7C"/>
    <w:rsid w:val="009643D2"/>
    <w:rsid w:val="009645E7"/>
    <w:rsid w:val="0096467A"/>
    <w:rsid w:val="00964801"/>
    <w:rsid w:val="00964BC9"/>
    <w:rsid w:val="009655A3"/>
    <w:rsid w:val="009659DA"/>
    <w:rsid w:val="00965FAF"/>
    <w:rsid w:val="0096668B"/>
    <w:rsid w:val="0096687D"/>
    <w:rsid w:val="00966C61"/>
    <w:rsid w:val="009674D4"/>
    <w:rsid w:val="00967C5E"/>
    <w:rsid w:val="0097009B"/>
    <w:rsid w:val="00970862"/>
    <w:rsid w:val="009724BB"/>
    <w:rsid w:val="0097283F"/>
    <w:rsid w:val="00972E05"/>
    <w:rsid w:val="009735C5"/>
    <w:rsid w:val="0097366D"/>
    <w:rsid w:val="00973AE6"/>
    <w:rsid w:val="009745AC"/>
    <w:rsid w:val="00974AF8"/>
    <w:rsid w:val="00975007"/>
    <w:rsid w:val="00975644"/>
    <w:rsid w:val="00976464"/>
    <w:rsid w:val="0097671B"/>
    <w:rsid w:val="00976BE4"/>
    <w:rsid w:val="00976D9E"/>
    <w:rsid w:val="00980908"/>
    <w:rsid w:val="0098178D"/>
    <w:rsid w:val="00981CB5"/>
    <w:rsid w:val="00983742"/>
    <w:rsid w:val="009840CC"/>
    <w:rsid w:val="00984899"/>
    <w:rsid w:val="0098551E"/>
    <w:rsid w:val="009856D5"/>
    <w:rsid w:val="00985B54"/>
    <w:rsid w:val="00986243"/>
    <w:rsid w:val="0098703B"/>
    <w:rsid w:val="009878A5"/>
    <w:rsid w:val="009906F5"/>
    <w:rsid w:val="00990763"/>
    <w:rsid w:val="00990A9D"/>
    <w:rsid w:val="00990CDA"/>
    <w:rsid w:val="0099185C"/>
    <w:rsid w:val="00991DE8"/>
    <w:rsid w:val="0099284B"/>
    <w:rsid w:val="00992942"/>
    <w:rsid w:val="00992B4C"/>
    <w:rsid w:val="0099351F"/>
    <w:rsid w:val="00993751"/>
    <w:rsid w:val="009957EE"/>
    <w:rsid w:val="00996508"/>
    <w:rsid w:val="0099652A"/>
    <w:rsid w:val="00996844"/>
    <w:rsid w:val="0099690E"/>
    <w:rsid w:val="00996DA4"/>
    <w:rsid w:val="00997083"/>
    <w:rsid w:val="00997244"/>
    <w:rsid w:val="009A05D3"/>
    <w:rsid w:val="009A0885"/>
    <w:rsid w:val="009A1DAF"/>
    <w:rsid w:val="009A2253"/>
    <w:rsid w:val="009A23FB"/>
    <w:rsid w:val="009A3113"/>
    <w:rsid w:val="009A462E"/>
    <w:rsid w:val="009A617E"/>
    <w:rsid w:val="009A620C"/>
    <w:rsid w:val="009A6A12"/>
    <w:rsid w:val="009A7396"/>
    <w:rsid w:val="009B0A2D"/>
    <w:rsid w:val="009B0DE4"/>
    <w:rsid w:val="009B0EB4"/>
    <w:rsid w:val="009B13ED"/>
    <w:rsid w:val="009B212C"/>
    <w:rsid w:val="009B2E98"/>
    <w:rsid w:val="009B30E6"/>
    <w:rsid w:val="009B42D2"/>
    <w:rsid w:val="009B454B"/>
    <w:rsid w:val="009B6A2C"/>
    <w:rsid w:val="009B7057"/>
    <w:rsid w:val="009B7980"/>
    <w:rsid w:val="009C00DE"/>
    <w:rsid w:val="009C04AE"/>
    <w:rsid w:val="009C05DE"/>
    <w:rsid w:val="009C0D8E"/>
    <w:rsid w:val="009C1D72"/>
    <w:rsid w:val="009C1FCB"/>
    <w:rsid w:val="009C251A"/>
    <w:rsid w:val="009C30CB"/>
    <w:rsid w:val="009C3C64"/>
    <w:rsid w:val="009C3DAD"/>
    <w:rsid w:val="009C53AC"/>
    <w:rsid w:val="009C5F0A"/>
    <w:rsid w:val="009C7929"/>
    <w:rsid w:val="009D04EF"/>
    <w:rsid w:val="009D100F"/>
    <w:rsid w:val="009D1AD9"/>
    <w:rsid w:val="009D1C37"/>
    <w:rsid w:val="009D2C7F"/>
    <w:rsid w:val="009D2F56"/>
    <w:rsid w:val="009D310D"/>
    <w:rsid w:val="009D33DE"/>
    <w:rsid w:val="009D35E9"/>
    <w:rsid w:val="009D3667"/>
    <w:rsid w:val="009D39ED"/>
    <w:rsid w:val="009D3A33"/>
    <w:rsid w:val="009D4729"/>
    <w:rsid w:val="009D6BBF"/>
    <w:rsid w:val="009D6CA7"/>
    <w:rsid w:val="009D7031"/>
    <w:rsid w:val="009D721D"/>
    <w:rsid w:val="009D7CA6"/>
    <w:rsid w:val="009D7E9E"/>
    <w:rsid w:val="009E0569"/>
    <w:rsid w:val="009E3017"/>
    <w:rsid w:val="009E3FD7"/>
    <w:rsid w:val="009E5AFD"/>
    <w:rsid w:val="009E62D5"/>
    <w:rsid w:val="009E669E"/>
    <w:rsid w:val="009E68E3"/>
    <w:rsid w:val="009E7406"/>
    <w:rsid w:val="009E7C19"/>
    <w:rsid w:val="009F14DD"/>
    <w:rsid w:val="009F1963"/>
    <w:rsid w:val="009F236C"/>
    <w:rsid w:val="009F2DB0"/>
    <w:rsid w:val="009F3376"/>
    <w:rsid w:val="009F428E"/>
    <w:rsid w:val="009F558D"/>
    <w:rsid w:val="009F5AED"/>
    <w:rsid w:val="009F5F15"/>
    <w:rsid w:val="009F602A"/>
    <w:rsid w:val="009F6854"/>
    <w:rsid w:val="009F693A"/>
    <w:rsid w:val="009F7B0E"/>
    <w:rsid w:val="009F7C69"/>
    <w:rsid w:val="00A00359"/>
    <w:rsid w:val="00A00388"/>
    <w:rsid w:val="00A005D0"/>
    <w:rsid w:val="00A01CD8"/>
    <w:rsid w:val="00A01EA3"/>
    <w:rsid w:val="00A02E4B"/>
    <w:rsid w:val="00A035B9"/>
    <w:rsid w:val="00A03BD9"/>
    <w:rsid w:val="00A04110"/>
    <w:rsid w:val="00A042ED"/>
    <w:rsid w:val="00A044B9"/>
    <w:rsid w:val="00A04A2A"/>
    <w:rsid w:val="00A04CBC"/>
    <w:rsid w:val="00A05A00"/>
    <w:rsid w:val="00A06289"/>
    <w:rsid w:val="00A065BC"/>
    <w:rsid w:val="00A06E4B"/>
    <w:rsid w:val="00A070C1"/>
    <w:rsid w:val="00A07AD0"/>
    <w:rsid w:val="00A07D13"/>
    <w:rsid w:val="00A103B5"/>
    <w:rsid w:val="00A11342"/>
    <w:rsid w:val="00A117C0"/>
    <w:rsid w:val="00A11A82"/>
    <w:rsid w:val="00A12230"/>
    <w:rsid w:val="00A1261E"/>
    <w:rsid w:val="00A13892"/>
    <w:rsid w:val="00A13EDA"/>
    <w:rsid w:val="00A149B7"/>
    <w:rsid w:val="00A14B7D"/>
    <w:rsid w:val="00A14BB9"/>
    <w:rsid w:val="00A1538A"/>
    <w:rsid w:val="00A15409"/>
    <w:rsid w:val="00A15724"/>
    <w:rsid w:val="00A161EC"/>
    <w:rsid w:val="00A16F70"/>
    <w:rsid w:val="00A20A12"/>
    <w:rsid w:val="00A20C9C"/>
    <w:rsid w:val="00A20FF8"/>
    <w:rsid w:val="00A21964"/>
    <w:rsid w:val="00A221FB"/>
    <w:rsid w:val="00A22256"/>
    <w:rsid w:val="00A229E6"/>
    <w:rsid w:val="00A22B52"/>
    <w:rsid w:val="00A22FA1"/>
    <w:rsid w:val="00A23526"/>
    <w:rsid w:val="00A23AB6"/>
    <w:rsid w:val="00A23C38"/>
    <w:rsid w:val="00A27678"/>
    <w:rsid w:val="00A30287"/>
    <w:rsid w:val="00A317C8"/>
    <w:rsid w:val="00A31CF0"/>
    <w:rsid w:val="00A32350"/>
    <w:rsid w:val="00A32CC8"/>
    <w:rsid w:val="00A3485D"/>
    <w:rsid w:val="00A34A3C"/>
    <w:rsid w:val="00A34A87"/>
    <w:rsid w:val="00A34E06"/>
    <w:rsid w:val="00A3519C"/>
    <w:rsid w:val="00A35508"/>
    <w:rsid w:val="00A363D8"/>
    <w:rsid w:val="00A36848"/>
    <w:rsid w:val="00A369CB"/>
    <w:rsid w:val="00A36FC5"/>
    <w:rsid w:val="00A37A9F"/>
    <w:rsid w:val="00A40A7C"/>
    <w:rsid w:val="00A41EAC"/>
    <w:rsid w:val="00A421DA"/>
    <w:rsid w:val="00A42697"/>
    <w:rsid w:val="00A427EE"/>
    <w:rsid w:val="00A43373"/>
    <w:rsid w:val="00A434B9"/>
    <w:rsid w:val="00A43C1B"/>
    <w:rsid w:val="00A4493D"/>
    <w:rsid w:val="00A4519A"/>
    <w:rsid w:val="00A45E9C"/>
    <w:rsid w:val="00A46654"/>
    <w:rsid w:val="00A466B0"/>
    <w:rsid w:val="00A46951"/>
    <w:rsid w:val="00A47490"/>
    <w:rsid w:val="00A47FDF"/>
    <w:rsid w:val="00A500C4"/>
    <w:rsid w:val="00A50FD7"/>
    <w:rsid w:val="00A512C3"/>
    <w:rsid w:val="00A51DB2"/>
    <w:rsid w:val="00A51F7E"/>
    <w:rsid w:val="00A528CE"/>
    <w:rsid w:val="00A5482D"/>
    <w:rsid w:val="00A550D2"/>
    <w:rsid w:val="00A555D1"/>
    <w:rsid w:val="00A57761"/>
    <w:rsid w:val="00A57ACD"/>
    <w:rsid w:val="00A6044E"/>
    <w:rsid w:val="00A609F3"/>
    <w:rsid w:val="00A6131E"/>
    <w:rsid w:val="00A6243E"/>
    <w:rsid w:val="00A62EF8"/>
    <w:rsid w:val="00A6309F"/>
    <w:rsid w:val="00A63D17"/>
    <w:rsid w:val="00A63EB3"/>
    <w:rsid w:val="00A643CB"/>
    <w:rsid w:val="00A65519"/>
    <w:rsid w:val="00A657D5"/>
    <w:rsid w:val="00A65DE4"/>
    <w:rsid w:val="00A67029"/>
    <w:rsid w:val="00A67A82"/>
    <w:rsid w:val="00A71DB1"/>
    <w:rsid w:val="00A71E2E"/>
    <w:rsid w:val="00A73791"/>
    <w:rsid w:val="00A739A2"/>
    <w:rsid w:val="00A73FD0"/>
    <w:rsid w:val="00A74F97"/>
    <w:rsid w:val="00A75271"/>
    <w:rsid w:val="00A7625A"/>
    <w:rsid w:val="00A76C8A"/>
    <w:rsid w:val="00A770D2"/>
    <w:rsid w:val="00A8036E"/>
    <w:rsid w:val="00A805C8"/>
    <w:rsid w:val="00A80FE2"/>
    <w:rsid w:val="00A8145C"/>
    <w:rsid w:val="00A81F8E"/>
    <w:rsid w:val="00A824E7"/>
    <w:rsid w:val="00A82988"/>
    <w:rsid w:val="00A82DE2"/>
    <w:rsid w:val="00A83043"/>
    <w:rsid w:val="00A832BA"/>
    <w:rsid w:val="00A8387D"/>
    <w:rsid w:val="00A83A57"/>
    <w:rsid w:val="00A8409B"/>
    <w:rsid w:val="00A8449A"/>
    <w:rsid w:val="00A856DF"/>
    <w:rsid w:val="00A8645D"/>
    <w:rsid w:val="00A86468"/>
    <w:rsid w:val="00A86D45"/>
    <w:rsid w:val="00A87075"/>
    <w:rsid w:val="00A87775"/>
    <w:rsid w:val="00A87821"/>
    <w:rsid w:val="00A907C7"/>
    <w:rsid w:val="00A90971"/>
    <w:rsid w:val="00A9123D"/>
    <w:rsid w:val="00A9136E"/>
    <w:rsid w:val="00A91C58"/>
    <w:rsid w:val="00A91EB3"/>
    <w:rsid w:val="00A9313C"/>
    <w:rsid w:val="00A93167"/>
    <w:rsid w:val="00A938A1"/>
    <w:rsid w:val="00A93940"/>
    <w:rsid w:val="00A93951"/>
    <w:rsid w:val="00A945CA"/>
    <w:rsid w:val="00A95D26"/>
    <w:rsid w:val="00A96C1C"/>
    <w:rsid w:val="00A96FFD"/>
    <w:rsid w:val="00A970E9"/>
    <w:rsid w:val="00AA036E"/>
    <w:rsid w:val="00AA08BC"/>
    <w:rsid w:val="00AA099F"/>
    <w:rsid w:val="00AA09CB"/>
    <w:rsid w:val="00AA0E6F"/>
    <w:rsid w:val="00AA19C6"/>
    <w:rsid w:val="00AA1A45"/>
    <w:rsid w:val="00AA1CDF"/>
    <w:rsid w:val="00AA2353"/>
    <w:rsid w:val="00AA2A53"/>
    <w:rsid w:val="00AA2D57"/>
    <w:rsid w:val="00AA3950"/>
    <w:rsid w:val="00AA3959"/>
    <w:rsid w:val="00AA399F"/>
    <w:rsid w:val="00AA650B"/>
    <w:rsid w:val="00AA696E"/>
    <w:rsid w:val="00AA6B29"/>
    <w:rsid w:val="00AA6BC1"/>
    <w:rsid w:val="00AA7128"/>
    <w:rsid w:val="00AA7EA8"/>
    <w:rsid w:val="00AB005E"/>
    <w:rsid w:val="00AB067C"/>
    <w:rsid w:val="00AB2DD4"/>
    <w:rsid w:val="00AB3A10"/>
    <w:rsid w:val="00AB3D92"/>
    <w:rsid w:val="00AB49F2"/>
    <w:rsid w:val="00AB5431"/>
    <w:rsid w:val="00AB5656"/>
    <w:rsid w:val="00AB5AE1"/>
    <w:rsid w:val="00AB6B4D"/>
    <w:rsid w:val="00AC06B1"/>
    <w:rsid w:val="00AC0BD6"/>
    <w:rsid w:val="00AC1017"/>
    <w:rsid w:val="00AC110B"/>
    <w:rsid w:val="00AC1469"/>
    <w:rsid w:val="00AC2712"/>
    <w:rsid w:val="00AC3168"/>
    <w:rsid w:val="00AC34BC"/>
    <w:rsid w:val="00AC364C"/>
    <w:rsid w:val="00AC4C93"/>
    <w:rsid w:val="00AC51B5"/>
    <w:rsid w:val="00AC7027"/>
    <w:rsid w:val="00AC744F"/>
    <w:rsid w:val="00AC7DAC"/>
    <w:rsid w:val="00AD02FD"/>
    <w:rsid w:val="00AD0325"/>
    <w:rsid w:val="00AD04BF"/>
    <w:rsid w:val="00AD1188"/>
    <w:rsid w:val="00AD1331"/>
    <w:rsid w:val="00AD140D"/>
    <w:rsid w:val="00AD1A38"/>
    <w:rsid w:val="00AD1BEE"/>
    <w:rsid w:val="00AD21C3"/>
    <w:rsid w:val="00AD2CA6"/>
    <w:rsid w:val="00AD341D"/>
    <w:rsid w:val="00AD38DA"/>
    <w:rsid w:val="00AD39E4"/>
    <w:rsid w:val="00AD3C08"/>
    <w:rsid w:val="00AD4973"/>
    <w:rsid w:val="00AD50EC"/>
    <w:rsid w:val="00AD56E9"/>
    <w:rsid w:val="00AD5BAA"/>
    <w:rsid w:val="00AD6257"/>
    <w:rsid w:val="00AD69BE"/>
    <w:rsid w:val="00AD6A81"/>
    <w:rsid w:val="00AD6D8C"/>
    <w:rsid w:val="00AD6F64"/>
    <w:rsid w:val="00AE0A7E"/>
    <w:rsid w:val="00AE0DD9"/>
    <w:rsid w:val="00AE0DEE"/>
    <w:rsid w:val="00AE3575"/>
    <w:rsid w:val="00AE389D"/>
    <w:rsid w:val="00AE3C4C"/>
    <w:rsid w:val="00AE45E5"/>
    <w:rsid w:val="00AE4AAD"/>
    <w:rsid w:val="00AE4FFC"/>
    <w:rsid w:val="00AE57B6"/>
    <w:rsid w:val="00AE5C74"/>
    <w:rsid w:val="00AE60F5"/>
    <w:rsid w:val="00AE7606"/>
    <w:rsid w:val="00AE7725"/>
    <w:rsid w:val="00AF07E7"/>
    <w:rsid w:val="00AF0918"/>
    <w:rsid w:val="00AF0E26"/>
    <w:rsid w:val="00AF0F03"/>
    <w:rsid w:val="00AF19D8"/>
    <w:rsid w:val="00AF1C1B"/>
    <w:rsid w:val="00AF22F6"/>
    <w:rsid w:val="00AF2360"/>
    <w:rsid w:val="00AF3877"/>
    <w:rsid w:val="00AF43C8"/>
    <w:rsid w:val="00AF5174"/>
    <w:rsid w:val="00AF550D"/>
    <w:rsid w:val="00AF5B61"/>
    <w:rsid w:val="00AF5E29"/>
    <w:rsid w:val="00AF6676"/>
    <w:rsid w:val="00AF73E2"/>
    <w:rsid w:val="00AF7664"/>
    <w:rsid w:val="00B009D5"/>
    <w:rsid w:val="00B00BD5"/>
    <w:rsid w:val="00B01037"/>
    <w:rsid w:val="00B0175B"/>
    <w:rsid w:val="00B020EA"/>
    <w:rsid w:val="00B022F7"/>
    <w:rsid w:val="00B02F35"/>
    <w:rsid w:val="00B04441"/>
    <w:rsid w:val="00B04461"/>
    <w:rsid w:val="00B051B8"/>
    <w:rsid w:val="00B055F5"/>
    <w:rsid w:val="00B05777"/>
    <w:rsid w:val="00B062B9"/>
    <w:rsid w:val="00B06682"/>
    <w:rsid w:val="00B074FC"/>
    <w:rsid w:val="00B076B5"/>
    <w:rsid w:val="00B10C6F"/>
    <w:rsid w:val="00B1195B"/>
    <w:rsid w:val="00B11B44"/>
    <w:rsid w:val="00B11C7D"/>
    <w:rsid w:val="00B122CE"/>
    <w:rsid w:val="00B126A7"/>
    <w:rsid w:val="00B134E4"/>
    <w:rsid w:val="00B14672"/>
    <w:rsid w:val="00B14B99"/>
    <w:rsid w:val="00B14E7B"/>
    <w:rsid w:val="00B15016"/>
    <w:rsid w:val="00B1520E"/>
    <w:rsid w:val="00B153A1"/>
    <w:rsid w:val="00B15F3A"/>
    <w:rsid w:val="00B1689C"/>
    <w:rsid w:val="00B16E8C"/>
    <w:rsid w:val="00B1728E"/>
    <w:rsid w:val="00B17601"/>
    <w:rsid w:val="00B20890"/>
    <w:rsid w:val="00B20BE0"/>
    <w:rsid w:val="00B21507"/>
    <w:rsid w:val="00B215DE"/>
    <w:rsid w:val="00B217A3"/>
    <w:rsid w:val="00B232F2"/>
    <w:rsid w:val="00B23372"/>
    <w:rsid w:val="00B2466F"/>
    <w:rsid w:val="00B250BC"/>
    <w:rsid w:val="00B2569C"/>
    <w:rsid w:val="00B25DFA"/>
    <w:rsid w:val="00B26230"/>
    <w:rsid w:val="00B278E6"/>
    <w:rsid w:val="00B27DE3"/>
    <w:rsid w:val="00B3086F"/>
    <w:rsid w:val="00B30AC2"/>
    <w:rsid w:val="00B30BF6"/>
    <w:rsid w:val="00B314A2"/>
    <w:rsid w:val="00B316EA"/>
    <w:rsid w:val="00B316EB"/>
    <w:rsid w:val="00B31DB7"/>
    <w:rsid w:val="00B325DD"/>
    <w:rsid w:val="00B3341C"/>
    <w:rsid w:val="00B334EA"/>
    <w:rsid w:val="00B33CD1"/>
    <w:rsid w:val="00B35745"/>
    <w:rsid w:val="00B35E0B"/>
    <w:rsid w:val="00B36B0E"/>
    <w:rsid w:val="00B36FCD"/>
    <w:rsid w:val="00B36FFA"/>
    <w:rsid w:val="00B375E8"/>
    <w:rsid w:val="00B376CC"/>
    <w:rsid w:val="00B37DE2"/>
    <w:rsid w:val="00B41712"/>
    <w:rsid w:val="00B42622"/>
    <w:rsid w:val="00B42963"/>
    <w:rsid w:val="00B429C2"/>
    <w:rsid w:val="00B42ED9"/>
    <w:rsid w:val="00B42F58"/>
    <w:rsid w:val="00B43C98"/>
    <w:rsid w:val="00B43F15"/>
    <w:rsid w:val="00B44F78"/>
    <w:rsid w:val="00B45E2C"/>
    <w:rsid w:val="00B46141"/>
    <w:rsid w:val="00B4622F"/>
    <w:rsid w:val="00B462F4"/>
    <w:rsid w:val="00B46497"/>
    <w:rsid w:val="00B4675C"/>
    <w:rsid w:val="00B46C56"/>
    <w:rsid w:val="00B46F9B"/>
    <w:rsid w:val="00B4707B"/>
    <w:rsid w:val="00B478CA"/>
    <w:rsid w:val="00B478DA"/>
    <w:rsid w:val="00B47CDD"/>
    <w:rsid w:val="00B50746"/>
    <w:rsid w:val="00B510FF"/>
    <w:rsid w:val="00B516FF"/>
    <w:rsid w:val="00B52ABD"/>
    <w:rsid w:val="00B53491"/>
    <w:rsid w:val="00B534E7"/>
    <w:rsid w:val="00B53E17"/>
    <w:rsid w:val="00B53E32"/>
    <w:rsid w:val="00B540F0"/>
    <w:rsid w:val="00B55CB5"/>
    <w:rsid w:val="00B56C18"/>
    <w:rsid w:val="00B5708D"/>
    <w:rsid w:val="00B570ED"/>
    <w:rsid w:val="00B5784F"/>
    <w:rsid w:val="00B57A62"/>
    <w:rsid w:val="00B608A7"/>
    <w:rsid w:val="00B6093F"/>
    <w:rsid w:val="00B60E07"/>
    <w:rsid w:val="00B6235E"/>
    <w:rsid w:val="00B6279C"/>
    <w:rsid w:val="00B63850"/>
    <w:rsid w:val="00B63C50"/>
    <w:rsid w:val="00B63E1D"/>
    <w:rsid w:val="00B6403D"/>
    <w:rsid w:val="00B640D6"/>
    <w:rsid w:val="00B641D0"/>
    <w:rsid w:val="00B65A19"/>
    <w:rsid w:val="00B65A1F"/>
    <w:rsid w:val="00B65A4B"/>
    <w:rsid w:val="00B66E18"/>
    <w:rsid w:val="00B67333"/>
    <w:rsid w:val="00B67477"/>
    <w:rsid w:val="00B67908"/>
    <w:rsid w:val="00B70915"/>
    <w:rsid w:val="00B70D4D"/>
    <w:rsid w:val="00B7177D"/>
    <w:rsid w:val="00B71E37"/>
    <w:rsid w:val="00B72947"/>
    <w:rsid w:val="00B73236"/>
    <w:rsid w:val="00B73300"/>
    <w:rsid w:val="00B7338F"/>
    <w:rsid w:val="00B7371C"/>
    <w:rsid w:val="00B7398C"/>
    <w:rsid w:val="00B743C3"/>
    <w:rsid w:val="00B74875"/>
    <w:rsid w:val="00B74B4C"/>
    <w:rsid w:val="00B74FC2"/>
    <w:rsid w:val="00B75135"/>
    <w:rsid w:val="00B7595B"/>
    <w:rsid w:val="00B75BA3"/>
    <w:rsid w:val="00B76219"/>
    <w:rsid w:val="00B7650A"/>
    <w:rsid w:val="00B77589"/>
    <w:rsid w:val="00B77B44"/>
    <w:rsid w:val="00B77CD7"/>
    <w:rsid w:val="00B8005E"/>
    <w:rsid w:val="00B816B6"/>
    <w:rsid w:val="00B81AED"/>
    <w:rsid w:val="00B81BA5"/>
    <w:rsid w:val="00B8236F"/>
    <w:rsid w:val="00B823EC"/>
    <w:rsid w:val="00B8264C"/>
    <w:rsid w:val="00B838D6"/>
    <w:rsid w:val="00B83AEF"/>
    <w:rsid w:val="00B83B7D"/>
    <w:rsid w:val="00B84972"/>
    <w:rsid w:val="00B84A40"/>
    <w:rsid w:val="00B84D18"/>
    <w:rsid w:val="00B84DDF"/>
    <w:rsid w:val="00B853AE"/>
    <w:rsid w:val="00B85F95"/>
    <w:rsid w:val="00B86175"/>
    <w:rsid w:val="00B872D7"/>
    <w:rsid w:val="00B9014D"/>
    <w:rsid w:val="00B91F97"/>
    <w:rsid w:val="00B9265F"/>
    <w:rsid w:val="00B92B53"/>
    <w:rsid w:val="00B93C55"/>
    <w:rsid w:val="00B93EAD"/>
    <w:rsid w:val="00B949DF"/>
    <w:rsid w:val="00B94D5E"/>
    <w:rsid w:val="00B9524A"/>
    <w:rsid w:val="00B957CC"/>
    <w:rsid w:val="00B96D24"/>
    <w:rsid w:val="00B96DA5"/>
    <w:rsid w:val="00B9727D"/>
    <w:rsid w:val="00B97F69"/>
    <w:rsid w:val="00BA00E3"/>
    <w:rsid w:val="00BA0EAB"/>
    <w:rsid w:val="00BA1666"/>
    <w:rsid w:val="00BA20D1"/>
    <w:rsid w:val="00BA3465"/>
    <w:rsid w:val="00BA38DF"/>
    <w:rsid w:val="00BA3EFD"/>
    <w:rsid w:val="00BA4016"/>
    <w:rsid w:val="00BA44A6"/>
    <w:rsid w:val="00BA48A7"/>
    <w:rsid w:val="00BA5B5A"/>
    <w:rsid w:val="00BA5EE4"/>
    <w:rsid w:val="00BA6224"/>
    <w:rsid w:val="00BA71FF"/>
    <w:rsid w:val="00BA7524"/>
    <w:rsid w:val="00BA7531"/>
    <w:rsid w:val="00BA7837"/>
    <w:rsid w:val="00BB0161"/>
    <w:rsid w:val="00BB02D2"/>
    <w:rsid w:val="00BB149B"/>
    <w:rsid w:val="00BB19A2"/>
    <w:rsid w:val="00BB1DFC"/>
    <w:rsid w:val="00BB3269"/>
    <w:rsid w:val="00BB5C3A"/>
    <w:rsid w:val="00BB6352"/>
    <w:rsid w:val="00BB6BA3"/>
    <w:rsid w:val="00BB7164"/>
    <w:rsid w:val="00BB75F0"/>
    <w:rsid w:val="00BB7651"/>
    <w:rsid w:val="00BB7911"/>
    <w:rsid w:val="00BC00ED"/>
    <w:rsid w:val="00BC02CB"/>
    <w:rsid w:val="00BC05D9"/>
    <w:rsid w:val="00BC062E"/>
    <w:rsid w:val="00BC0712"/>
    <w:rsid w:val="00BC090C"/>
    <w:rsid w:val="00BC0AA4"/>
    <w:rsid w:val="00BC171A"/>
    <w:rsid w:val="00BC17CA"/>
    <w:rsid w:val="00BC1E8D"/>
    <w:rsid w:val="00BC1F63"/>
    <w:rsid w:val="00BC1FCF"/>
    <w:rsid w:val="00BC59B4"/>
    <w:rsid w:val="00BC5B4D"/>
    <w:rsid w:val="00BC62B9"/>
    <w:rsid w:val="00BD0A90"/>
    <w:rsid w:val="00BD0BDA"/>
    <w:rsid w:val="00BD0E46"/>
    <w:rsid w:val="00BD1978"/>
    <w:rsid w:val="00BD3650"/>
    <w:rsid w:val="00BD4559"/>
    <w:rsid w:val="00BD4672"/>
    <w:rsid w:val="00BD470E"/>
    <w:rsid w:val="00BD4BC5"/>
    <w:rsid w:val="00BD4FFA"/>
    <w:rsid w:val="00BD512E"/>
    <w:rsid w:val="00BD5D8A"/>
    <w:rsid w:val="00BD64CE"/>
    <w:rsid w:val="00BD693C"/>
    <w:rsid w:val="00BD6F48"/>
    <w:rsid w:val="00BD6FED"/>
    <w:rsid w:val="00BD720E"/>
    <w:rsid w:val="00BE1969"/>
    <w:rsid w:val="00BE38F5"/>
    <w:rsid w:val="00BE3FCA"/>
    <w:rsid w:val="00BE55F4"/>
    <w:rsid w:val="00BE5BC9"/>
    <w:rsid w:val="00BE5F94"/>
    <w:rsid w:val="00BE6557"/>
    <w:rsid w:val="00BE6A51"/>
    <w:rsid w:val="00BE7435"/>
    <w:rsid w:val="00BE7A46"/>
    <w:rsid w:val="00BF0438"/>
    <w:rsid w:val="00BF1AB7"/>
    <w:rsid w:val="00BF1DEC"/>
    <w:rsid w:val="00BF2086"/>
    <w:rsid w:val="00BF2864"/>
    <w:rsid w:val="00BF2CC3"/>
    <w:rsid w:val="00BF32E0"/>
    <w:rsid w:val="00BF346E"/>
    <w:rsid w:val="00BF3627"/>
    <w:rsid w:val="00BF3D8D"/>
    <w:rsid w:val="00BF3EDB"/>
    <w:rsid w:val="00BF4694"/>
    <w:rsid w:val="00BF4CD6"/>
    <w:rsid w:val="00BF5287"/>
    <w:rsid w:val="00BF5A38"/>
    <w:rsid w:val="00BF5ABD"/>
    <w:rsid w:val="00BF65B5"/>
    <w:rsid w:val="00BF77EE"/>
    <w:rsid w:val="00C009AA"/>
    <w:rsid w:val="00C02971"/>
    <w:rsid w:val="00C02D75"/>
    <w:rsid w:val="00C05936"/>
    <w:rsid w:val="00C0617F"/>
    <w:rsid w:val="00C068D6"/>
    <w:rsid w:val="00C113C4"/>
    <w:rsid w:val="00C123CB"/>
    <w:rsid w:val="00C12AEA"/>
    <w:rsid w:val="00C1384E"/>
    <w:rsid w:val="00C14230"/>
    <w:rsid w:val="00C1426D"/>
    <w:rsid w:val="00C146CF"/>
    <w:rsid w:val="00C14833"/>
    <w:rsid w:val="00C155E3"/>
    <w:rsid w:val="00C16780"/>
    <w:rsid w:val="00C1694C"/>
    <w:rsid w:val="00C174C7"/>
    <w:rsid w:val="00C17AFB"/>
    <w:rsid w:val="00C200B9"/>
    <w:rsid w:val="00C20147"/>
    <w:rsid w:val="00C202B8"/>
    <w:rsid w:val="00C20302"/>
    <w:rsid w:val="00C20D2F"/>
    <w:rsid w:val="00C22099"/>
    <w:rsid w:val="00C224BB"/>
    <w:rsid w:val="00C22537"/>
    <w:rsid w:val="00C2275A"/>
    <w:rsid w:val="00C22F08"/>
    <w:rsid w:val="00C233FB"/>
    <w:rsid w:val="00C23C0F"/>
    <w:rsid w:val="00C250BB"/>
    <w:rsid w:val="00C25EDD"/>
    <w:rsid w:val="00C26033"/>
    <w:rsid w:val="00C262FF"/>
    <w:rsid w:val="00C30151"/>
    <w:rsid w:val="00C30183"/>
    <w:rsid w:val="00C31482"/>
    <w:rsid w:val="00C32E9E"/>
    <w:rsid w:val="00C34186"/>
    <w:rsid w:val="00C35799"/>
    <w:rsid w:val="00C361DF"/>
    <w:rsid w:val="00C37137"/>
    <w:rsid w:val="00C37C10"/>
    <w:rsid w:val="00C37CE4"/>
    <w:rsid w:val="00C407FF"/>
    <w:rsid w:val="00C42CF9"/>
    <w:rsid w:val="00C42E34"/>
    <w:rsid w:val="00C43198"/>
    <w:rsid w:val="00C43313"/>
    <w:rsid w:val="00C43372"/>
    <w:rsid w:val="00C43CD2"/>
    <w:rsid w:val="00C44959"/>
    <w:rsid w:val="00C45257"/>
    <w:rsid w:val="00C4553C"/>
    <w:rsid w:val="00C4596B"/>
    <w:rsid w:val="00C45B68"/>
    <w:rsid w:val="00C45CFC"/>
    <w:rsid w:val="00C4600B"/>
    <w:rsid w:val="00C46070"/>
    <w:rsid w:val="00C46F24"/>
    <w:rsid w:val="00C471F4"/>
    <w:rsid w:val="00C478EF"/>
    <w:rsid w:val="00C501D1"/>
    <w:rsid w:val="00C50323"/>
    <w:rsid w:val="00C5065F"/>
    <w:rsid w:val="00C5085C"/>
    <w:rsid w:val="00C50885"/>
    <w:rsid w:val="00C50BA3"/>
    <w:rsid w:val="00C51627"/>
    <w:rsid w:val="00C51E18"/>
    <w:rsid w:val="00C528C1"/>
    <w:rsid w:val="00C52F51"/>
    <w:rsid w:val="00C532D8"/>
    <w:rsid w:val="00C53A5D"/>
    <w:rsid w:val="00C541F7"/>
    <w:rsid w:val="00C546FD"/>
    <w:rsid w:val="00C56705"/>
    <w:rsid w:val="00C56DD6"/>
    <w:rsid w:val="00C57275"/>
    <w:rsid w:val="00C572F2"/>
    <w:rsid w:val="00C57ECE"/>
    <w:rsid w:val="00C60364"/>
    <w:rsid w:val="00C60565"/>
    <w:rsid w:val="00C60CC8"/>
    <w:rsid w:val="00C6193E"/>
    <w:rsid w:val="00C62E18"/>
    <w:rsid w:val="00C63706"/>
    <w:rsid w:val="00C63D70"/>
    <w:rsid w:val="00C64037"/>
    <w:rsid w:val="00C6421F"/>
    <w:rsid w:val="00C645D9"/>
    <w:rsid w:val="00C64B31"/>
    <w:rsid w:val="00C65262"/>
    <w:rsid w:val="00C659E7"/>
    <w:rsid w:val="00C65F31"/>
    <w:rsid w:val="00C66C9C"/>
    <w:rsid w:val="00C67499"/>
    <w:rsid w:val="00C70270"/>
    <w:rsid w:val="00C7028A"/>
    <w:rsid w:val="00C70593"/>
    <w:rsid w:val="00C70797"/>
    <w:rsid w:val="00C70A33"/>
    <w:rsid w:val="00C70A36"/>
    <w:rsid w:val="00C70DB2"/>
    <w:rsid w:val="00C714F8"/>
    <w:rsid w:val="00C72146"/>
    <w:rsid w:val="00C725C7"/>
    <w:rsid w:val="00C72C29"/>
    <w:rsid w:val="00C74E25"/>
    <w:rsid w:val="00C7578B"/>
    <w:rsid w:val="00C761BB"/>
    <w:rsid w:val="00C76985"/>
    <w:rsid w:val="00C769FD"/>
    <w:rsid w:val="00C76E3F"/>
    <w:rsid w:val="00C8072E"/>
    <w:rsid w:val="00C80769"/>
    <w:rsid w:val="00C8077D"/>
    <w:rsid w:val="00C80AB8"/>
    <w:rsid w:val="00C80C8F"/>
    <w:rsid w:val="00C81657"/>
    <w:rsid w:val="00C8298F"/>
    <w:rsid w:val="00C82E6F"/>
    <w:rsid w:val="00C8583B"/>
    <w:rsid w:val="00C858FC"/>
    <w:rsid w:val="00C85FF9"/>
    <w:rsid w:val="00C860C9"/>
    <w:rsid w:val="00C86BCD"/>
    <w:rsid w:val="00C86ECA"/>
    <w:rsid w:val="00C9096D"/>
    <w:rsid w:val="00C90BCD"/>
    <w:rsid w:val="00C917B1"/>
    <w:rsid w:val="00C91A27"/>
    <w:rsid w:val="00C924CF"/>
    <w:rsid w:val="00C9276E"/>
    <w:rsid w:val="00C9289A"/>
    <w:rsid w:val="00C94FAD"/>
    <w:rsid w:val="00C97064"/>
    <w:rsid w:val="00C976D6"/>
    <w:rsid w:val="00C97EC4"/>
    <w:rsid w:val="00CA0402"/>
    <w:rsid w:val="00CA0E56"/>
    <w:rsid w:val="00CA10CF"/>
    <w:rsid w:val="00CA188E"/>
    <w:rsid w:val="00CA213B"/>
    <w:rsid w:val="00CA3343"/>
    <w:rsid w:val="00CA38C6"/>
    <w:rsid w:val="00CA38DB"/>
    <w:rsid w:val="00CA3E7F"/>
    <w:rsid w:val="00CA4742"/>
    <w:rsid w:val="00CA5A61"/>
    <w:rsid w:val="00CA629E"/>
    <w:rsid w:val="00CA6A78"/>
    <w:rsid w:val="00CA77EB"/>
    <w:rsid w:val="00CB06C3"/>
    <w:rsid w:val="00CB0E1F"/>
    <w:rsid w:val="00CB32EB"/>
    <w:rsid w:val="00CB3BEE"/>
    <w:rsid w:val="00CB3E4E"/>
    <w:rsid w:val="00CB48D7"/>
    <w:rsid w:val="00CB5E5C"/>
    <w:rsid w:val="00CB6E3E"/>
    <w:rsid w:val="00CB6EB2"/>
    <w:rsid w:val="00CB76FE"/>
    <w:rsid w:val="00CB7A84"/>
    <w:rsid w:val="00CB7E5F"/>
    <w:rsid w:val="00CB7E6D"/>
    <w:rsid w:val="00CC0EF3"/>
    <w:rsid w:val="00CC135F"/>
    <w:rsid w:val="00CC18C4"/>
    <w:rsid w:val="00CC1D62"/>
    <w:rsid w:val="00CC3ED6"/>
    <w:rsid w:val="00CC4AA0"/>
    <w:rsid w:val="00CC52F9"/>
    <w:rsid w:val="00CC5A7B"/>
    <w:rsid w:val="00CC636E"/>
    <w:rsid w:val="00CC677A"/>
    <w:rsid w:val="00CC685A"/>
    <w:rsid w:val="00CC688B"/>
    <w:rsid w:val="00CC6D17"/>
    <w:rsid w:val="00CC6D3C"/>
    <w:rsid w:val="00CC7A3C"/>
    <w:rsid w:val="00CD00A5"/>
    <w:rsid w:val="00CD054C"/>
    <w:rsid w:val="00CD0702"/>
    <w:rsid w:val="00CD0776"/>
    <w:rsid w:val="00CD09F4"/>
    <w:rsid w:val="00CD0A0C"/>
    <w:rsid w:val="00CD0A25"/>
    <w:rsid w:val="00CD181A"/>
    <w:rsid w:val="00CD1F5A"/>
    <w:rsid w:val="00CD24A0"/>
    <w:rsid w:val="00CD27F7"/>
    <w:rsid w:val="00CD3469"/>
    <w:rsid w:val="00CD36B9"/>
    <w:rsid w:val="00CD38C3"/>
    <w:rsid w:val="00CD3A5B"/>
    <w:rsid w:val="00CD4651"/>
    <w:rsid w:val="00CD4BE9"/>
    <w:rsid w:val="00CD52EB"/>
    <w:rsid w:val="00CD5481"/>
    <w:rsid w:val="00CD5BBB"/>
    <w:rsid w:val="00CD5FD3"/>
    <w:rsid w:val="00CD6901"/>
    <w:rsid w:val="00CD770E"/>
    <w:rsid w:val="00CE000F"/>
    <w:rsid w:val="00CE0841"/>
    <w:rsid w:val="00CE0F28"/>
    <w:rsid w:val="00CE0FD0"/>
    <w:rsid w:val="00CE1803"/>
    <w:rsid w:val="00CE2730"/>
    <w:rsid w:val="00CE2E0E"/>
    <w:rsid w:val="00CE2E44"/>
    <w:rsid w:val="00CE34FA"/>
    <w:rsid w:val="00CE3E9C"/>
    <w:rsid w:val="00CE4756"/>
    <w:rsid w:val="00CE58A1"/>
    <w:rsid w:val="00CE5C18"/>
    <w:rsid w:val="00CE6099"/>
    <w:rsid w:val="00CE634E"/>
    <w:rsid w:val="00CE78CC"/>
    <w:rsid w:val="00CF06BD"/>
    <w:rsid w:val="00CF11B9"/>
    <w:rsid w:val="00CF1BF4"/>
    <w:rsid w:val="00CF1F2E"/>
    <w:rsid w:val="00CF20A4"/>
    <w:rsid w:val="00CF2D57"/>
    <w:rsid w:val="00CF32FD"/>
    <w:rsid w:val="00CF3688"/>
    <w:rsid w:val="00CF4093"/>
    <w:rsid w:val="00CF4544"/>
    <w:rsid w:val="00CF4819"/>
    <w:rsid w:val="00CF5DA3"/>
    <w:rsid w:val="00CF600F"/>
    <w:rsid w:val="00CF7017"/>
    <w:rsid w:val="00CF7505"/>
    <w:rsid w:val="00D00249"/>
    <w:rsid w:val="00D00868"/>
    <w:rsid w:val="00D01ABD"/>
    <w:rsid w:val="00D01EF9"/>
    <w:rsid w:val="00D026DA"/>
    <w:rsid w:val="00D03113"/>
    <w:rsid w:val="00D031F6"/>
    <w:rsid w:val="00D03BD1"/>
    <w:rsid w:val="00D049C3"/>
    <w:rsid w:val="00D04BE5"/>
    <w:rsid w:val="00D053E0"/>
    <w:rsid w:val="00D055FF"/>
    <w:rsid w:val="00D0585C"/>
    <w:rsid w:val="00D05951"/>
    <w:rsid w:val="00D06366"/>
    <w:rsid w:val="00D078F0"/>
    <w:rsid w:val="00D07B02"/>
    <w:rsid w:val="00D109D2"/>
    <w:rsid w:val="00D11157"/>
    <w:rsid w:val="00D113C3"/>
    <w:rsid w:val="00D116A6"/>
    <w:rsid w:val="00D1194F"/>
    <w:rsid w:val="00D11BC1"/>
    <w:rsid w:val="00D11E53"/>
    <w:rsid w:val="00D12185"/>
    <w:rsid w:val="00D1280F"/>
    <w:rsid w:val="00D12BE2"/>
    <w:rsid w:val="00D12FDA"/>
    <w:rsid w:val="00D14493"/>
    <w:rsid w:val="00D1569D"/>
    <w:rsid w:val="00D17447"/>
    <w:rsid w:val="00D175CC"/>
    <w:rsid w:val="00D17BBB"/>
    <w:rsid w:val="00D17BC3"/>
    <w:rsid w:val="00D2110D"/>
    <w:rsid w:val="00D21182"/>
    <w:rsid w:val="00D2142D"/>
    <w:rsid w:val="00D21689"/>
    <w:rsid w:val="00D2172C"/>
    <w:rsid w:val="00D22C10"/>
    <w:rsid w:val="00D22CCC"/>
    <w:rsid w:val="00D234FC"/>
    <w:rsid w:val="00D24178"/>
    <w:rsid w:val="00D2438E"/>
    <w:rsid w:val="00D2458C"/>
    <w:rsid w:val="00D24F7F"/>
    <w:rsid w:val="00D2561C"/>
    <w:rsid w:val="00D25DA3"/>
    <w:rsid w:val="00D30871"/>
    <w:rsid w:val="00D30BF3"/>
    <w:rsid w:val="00D32842"/>
    <w:rsid w:val="00D3375D"/>
    <w:rsid w:val="00D33A01"/>
    <w:rsid w:val="00D340C3"/>
    <w:rsid w:val="00D34690"/>
    <w:rsid w:val="00D35193"/>
    <w:rsid w:val="00D357BA"/>
    <w:rsid w:val="00D36754"/>
    <w:rsid w:val="00D369C0"/>
    <w:rsid w:val="00D378A4"/>
    <w:rsid w:val="00D4059C"/>
    <w:rsid w:val="00D408BA"/>
    <w:rsid w:val="00D408F7"/>
    <w:rsid w:val="00D40C17"/>
    <w:rsid w:val="00D41B7A"/>
    <w:rsid w:val="00D42AE2"/>
    <w:rsid w:val="00D42BC9"/>
    <w:rsid w:val="00D43515"/>
    <w:rsid w:val="00D43A53"/>
    <w:rsid w:val="00D43D6D"/>
    <w:rsid w:val="00D43FE3"/>
    <w:rsid w:val="00D463E4"/>
    <w:rsid w:val="00D46857"/>
    <w:rsid w:val="00D47371"/>
    <w:rsid w:val="00D477BC"/>
    <w:rsid w:val="00D47844"/>
    <w:rsid w:val="00D47A4B"/>
    <w:rsid w:val="00D5079E"/>
    <w:rsid w:val="00D50981"/>
    <w:rsid w:val="00D50E54"/>
    <w:rsid w:val="00D52D92"/>
    <w:rsid w:val="00D53A80"/>
    <w:rsid w:val="00D53FF7"/>
    <w:rsid w:val="00D54585"/>
    <w:rsid w:val="00D56823"/>
    <w:rsid w:val="00D56D86"/>
    <w:rsid w:val="00D57385"/>
    <w:rsid w:val="00D57ABE"/>
    <w:rsid w:val="00D57D10"/>
    <w:rsid w:val="00D57F87"/>
    <w:rsid w:val="00D60E75"/>
    <w:rsid w:val="00D61F0C"/>
    <w:rsid w:val="00D6208B"/>
    <w:rsid w:val="00D6267F"/>
    <w:rsid w:val="00D62CD8"/>
    <w:rsid w:val="00D642E4"/>
    <w:rsid w:val="00D643C6"/>
    <w:rsid w:val="00D64588"/>
    <w:rsid w:val="00D6515F"/>
    <w:rsid w:val="00D653C3"/>
    <w:rsid w:val="00D6556B"/>
    <w:rsid w:val="00D66C68"/>
    <w:rsid w:val="00D6700B"/>
    <w:rsid w:val="00D677F8"/>
    <w:rsid w:val="00D67B6B"/>
    <w:rsid w:val="00D700A9"/>
    <w:rsid w:val="00D70273"/>
    <w:rsid w:val="00D705FB"/>
    <w:rsid w:val="00D71211"/>
    <w:rsid w:val="00D713D4"/>
    <w:rsid w:val="00D71A5D"/>
    <w:rsid w:val="00D72127"/>
    <w:rsid w:val="00D74958"/>
    <w:rsid w:val="00D74AFE"/>
    <w:rsid w:val="00D75034"/>
    <w:rsid w:val="00D75865"/>
    <w:rsid w:val="00D7755A"/>
    <w:rsid w:val="00D77EF6"/>
    <w:rsid w:val="00D80A3C"/>
    <w:rsid w:val="00D80E31"/>
    <w:rsid w:val="00D81D46"/>
    <w:rsid w:val="00D82474"/>
    <w:rsid w:val="00D826B8"/>
    <w:rsid w:val="00D827CF"/>
    <w:rsid w:val="00D83176"/>
    <w:rsid w:val="00D8371E"/>
    <w:rsid w:val="00D84226"/>
    <w:rsid w:val="00D84E18"/>
    <w:rsid w:val="00D865F3"/>
    <w:rsid w:val="00D878F4"/>
    <w:rsid w:val="00D87993"/>
    <w:rsid w:val="00D90115"/>
    <w:rsid w:val="00D903F0"/>
    <w:rsid w:val="00D914F8"/>
    <w:rsid w:val="00D917EF"/>
    <w:rsid w:val="00D920B6"/>
    <w:rsid w:val="00D92691"/>
    <w:rsid w:val="00D931BD"/>
    <w:rsid w:val="00D93797"/>
    <w:rsid w:val="00D9385C"/>
    <w:rsid w:val="00D943B7"/>
    <w:rsid w:val="00D96A2F"/>
    <w:rsid w:val="00D96B04"/>
    <w:rsid w:val="00D9793E"/>
    <w:rsid w:val="00DA0D33"/>
    <w:rsid w:val="00DA1472"/>
    <w:rsid w:val="00DA215F"/>
    <w:rsid w:val="00DA2D2B"/>
    <w:rsid w:val="00DA3164"/>
    <w:rsid w:val="00DA3762"/>
    <w:rsid w:val="00DA3839"/>
    <w:rsid w:val="00DA4BAF"/>
    <w:rsid w:val="00DA505A"/>
    <w:rsid w:val="00DA55CC"/>
    <w:rsid w:val="00DA5625"/>
    <w:rsid w:val="00DA5A1F"/>
    <w:rsid w:val="00DA6173"/>
    <w:rsid w:val="00DA619A"/>
    <w:rsid w:val="00DA6A6E"/>
    <w:rsid w:val="00DA6FB5"/>
    <w:rsid w:val="00DA7D04"/>
    <w:rsid w:val="00DA7D3F"/>
    <w:rsid w:val="00DB01CD"/>
    <w:rsid w:val="00DB0678"/>
    <w:rsid w:val="00DB0D0F"/>
    <w:rsid w:val="00DB0F5C"/>
    <w:rsid w:val="00DB1A87"/>
    <w:rsid w:val="00DB20A4"/>
    <w:rsid w:val="00DB241A"/>
    <w:rsid w:val="00DB28B2"/>
    <w:rsid w:val="00DB3684"/>
    <w:rsid w:val="00DB3865"/>
    <w:rsid w:val="00DB4726"/>
    <w:rsid w:val="00DB5876"/>
    <w:rsid w:val="00DB5EAE"/>
    <w:rsid w:val="00DB627E"/>
    <w:rsid w:val="00DB7C2B"/>
    <w:rsid w:val="00DC0155"/>
    <w:rsid w:val="00DC09A7"/>
    <w:rsid w:val="00DC0BB6"/>
    <w:rsid w:val="00DC1402"/>
    <w:rsid w:val="00DC2C44"/>
    <w:rsid w:val="00DC2CA3"/>
    <w:rsid w:val="00DC30A6"/>
    <w:rsid w:val="00DC37CD"/>
    <w:rsid w:val="00DC45BD"/>
    <w:rsid w:val="00DC4E34"/>
    <w:rsid w:val="00DC4EF2"/>
    <w:rsid w:val="00DC6C98"/>
    <w:rsid w:val="00DC6DF0"/>
    <w:rsid w:val="00DC7096"/>
    <w:rsid w:val="00DC74F0"/>
    <w:rsid w:val="00DC75D3"/>
    <w:rsid w:val="00DC7C55"/>
    <w:rsid w:val="00DD0822"/>
    <w:rsid w:val="00DD1232"/>
    <w:rsid w:val="00DD1ADB"/>
    <w:rsid w:val="00DD1B41"/>
    <w:rsid w:val="00DD2E09"/>
    <w:rsid w:val="00DD3129"/>
    <w:rsid w:val="00DD3177"/>
    <w:rsid w:val="00DD365C"/>
    <w:rsid w:val="00DD45B1"/>
    <w:rsid w:val="00DD45B4"/>
    <w:rsid w:val="00DD45F9"/>
    <w:rsid w:val="00DD60BB"/>
    <w:rsid w:val="00DD61BD"/>
    <w:rsid w:val="00DD634C"/>
    <w:rsid w:val="00DD6F0F"/>
    <w:rsid w:val="00DD7149"/>
    <w:rsid w:val="00DD730A"/>
    <w:rsid w:val="00DD77AF"/>
    <w:rsid w:val="00DD77BE"/>
    <w:rsid w:val="00DD798C"/>
    <w:rsid w:val="00DD7DA0"/>
    <w:rsid w:val="00DE0174"/>
    <w:rsid w:val="00DE01C8"/>
    <w:rsid w:val="00DE0380"/>
    <w:rsid w:val="00DE0B4B"/>
    <w:rsid w:val="00DE1B77"/>
    <w:rsid w:val="00DE2A24"/>
    <w:rsid w:val="00DE2FCD"/>
    <w:rsid w:val="00DE3117"/>
    <w:rsid w:val="00DE3613"/>
    <w:rsid w:val="00DE36A0"/>
    <w:rsid w:val="00DE3874"/>
    <w:rsid w:val="00DE3A40"/>
    <w:rsid w:val="00DE3F4B"/>
    <w:rsid w:val="00DE5673"/>
    <w:rsid w:val="00DE5A48"/>
    <w:rsid w:val="00DE5B2D"/>
    <w:rsid w:val="00DE5BD5"/>
    <w:rsid w:val="00DE5FD1"/>
    <w:rsid w:val="00DE604C"/>
    <w:rsid w:val="00DE64D3"/>
    <w:rsid w:val="00DE7321"/>
    <w:rsid w:val="00DF0334"/>
    <w:rsid w:val="00DF0D2E"/>
    <w:rsid w:val="00DF29E3"/>
    <w:rsid w:val="00DF2C36"/>
    <w:rsid w:val="00DF335A"/>
    <w:rsid w:val="00DF4A25"/>
    <w:rsid w:val="00DF4CC3"/>
    <w:rsid w:val="00DF5406"/>
    <w:rsid w:val="00DF55D5"/>
    <w:rsid w:val="00DF5E25"/>
    <w:rsid w:val="00DF7330"/>
    <w:rsid w:val="00DF762A"/>
    <w:rsid w:val="00DF7890"/>
    <w:rsid w:val="00DF7910"/>
    <w:rsid w:val="00DF7AC2"/>
    <w:rsid w:val="00DF7AEA"/>
    <w:rsid w:val="00E0012A"/>
    <w:rsid w:val="00E007A3"/>
    <w:rsid w:val="00E00DAB"/>
    <w:rsid w:val="00E00ECC"/>
    <w:rsid w:val="00E01F88"/>
    <w:rsid w:val="00E0205B"/>
    <w:rsid w:val="00E0267F"/>
    <w:rsid w:val="00E0289C"/>
    <w:rsid w:val="00E03A5E"/>
    <w:rsid w:val="00E03EDD"/>
    <w:rsid w:val="00E04222"/>
    <w:rsid w:val="00E046BC"/>
    <w:rsid w:val="00E0553D"/>
    <w:rsid w:val="00E058E7"/>
    <w:rsid w:val="00E05FA2"/>
    <w:rsid w:val="00E06537"/>
    <w:rsid w:val="00E065FA"/>
    <w:rsid w:val="00E07E9A"/>
    <w:rsid w:val="00E10297"/>
    <w:rsid w:val="00E1064F"/>
    <w:rsid w:val="00E11044"/>
    <w:rsid w:val="00E1200B"/>
    <w:rsid w:val="00E1306A"/>
    <w:rsid w:val="00E13A52"/>
    <w:rsid w:val="00E13D3A"/>
    <w:rsid w:val="00E14660"/>
    <w:rsid w:val="00E150A2"/>
    <w:rsid w:val="00E15522"/>
    <w:rsid w:val="00E15525"/>
    <w:rsid w:val="00E1573C"/>
    <w:rsid w:val="00E165F1"/>
    <w:rsid w:val="00E17C51"/>
    <w:rsid w:val="00E2059F"/>
    <w:rsid w:val="00E2263C"/>
    <w:rsid w:val="00E22BBC"/>
    <w:rsid w:val="00E22CB5"/>
    <w:rsid w:val="00E23231"/>
    <w:rsid w:val="00E2364C"/>
    <w:rsid w:val="00E238B2"/>
    <w:rsid w:val="00E23B8F"/>
    <w:rsid w:val="00E24CE3"/>
    <w:rsid w:val="00E26084"/>
    <w:rsid w:val="00E2719E"/>
    <w:rsid w:val="00E273F8"/>
    <w:rsid w:val="00E27694"/>
    <w:rsid w:val="00E30435"/>
    <w:rsid w:val="00E3043B"/>
    <w:rsid w:val="00E308D4"/>
    <w:rsid w:val="00E30F19"/>
    <w:rsid w:val="00E31B24"/>
    <w:rsid w:val="00E31B45"/>
    <w:rsid w:val="00E31B78"/>
    <w:rsid w:val="00E31FE0"/>
    <w:rsid w:val="00E32023"/>
    <w:rsid w:val="00E32914"/>
    <w:rsid w:val="00E331A5"/>
    <w:rsid w:val="00E335C1"/>
    <w:rsid w:val="00E34640"/>
    <w:rsid w:val="00E348FD"/>
    <w:rsid w:val="00E34C48"/>
    <w:rsid w:val="00E35151"/>
    <w:rsid w:val="00E35C85"/>
    <w:rsid w:val="00E35EF3"/>
    <w:rsid w:val="00E3683C"/>
    <w:rsid w:val="00E36B6B"/>
    <w:rsid w:val="00E36F02"/>
    <w:rsid w:val="00E37594"/>
    <w:rsid w:val="00E40E4B"/>
    <w:rsid w:val="00E412F2"/>
    <w:rsid w:val="00E41583"/>
    <w:rsid w:val="00E42DE1"/>
    <w:rsid w:val="00E43DEB"/>
    <w:rsid w:val="00E440E3"/>
    <w:rsid w:val="00E46120"/>
    <w:rsid w:val="00E46224"/>
    <w:rsid w:val="00E46797"/>
    <w:rsid w:val="00E46ACD"/>
    <w:rsid w:val="00E47679"/>
    <w:rsid w:val="00E477F8"/>
    <w:rsid w:val="00E47B6B"/>
    <w:rsid w:val="00E47CB4"/>
    <w:rsid w:val="00E50A73"/>
    <w:rsid w:val="00E50F4F"/>
    <w:rsid w:val="00E50F86"/>
    <w:rsid w:val="00E51F78"/>
    <w:rsid w:val="00E52212"/>
    <w:rsid w:val="00E52B88"/>
    <w:rsid w:val="00E535A9"/>
    <w:rsid w:val="00E53751"/>
    <w:rsid w:val="00E53DF1"/>
    <w:rsid w:val="00E5472A"/>
    <w:rsid w:val="00E54786"/>
    <w:rsid w:val="00E547AF"/>
    <w:rsid w:val="00E5534F"/>
    <w:rsid w:val="00E557C9"/>
    <w:rsid w:val="00E559AF"/>
    <w:rsid w:val="00E56AA2"/>
    <w:rsid w:val="00E578DB"/>
    <w:rsid w:val="00E61638"/>
    <w:rsid w:val="00E61C5F"/>
    <w:rsid w:val="00E61E36"/>
    <w:rsid w:val="00E6221C"/>
    <w:rsid w:val="00E622C6"/>
    <w:rsid w:val="00E62CBA"/>
    <w:rsid w:val="00E63EB1"/>
    <w:rsid w:val="00E63F65"/>
    <w:rsid w:val="00E64345"/>
    <w:rsid w:val="00E646B1"/>
    <w:rsid w:val="00E65092"/>
    <w:rsid w:val="00E65497"/>
    <w:rsid w:val="00E65F60"/>
    <w:rsid w:val="00E66091"/>
    <w:rsid w:val="00E6667A"/>
    <w:rsid w:val="00E672D4"/>
    <w:rsid w:val="00E674C5"/>
    <w:rsid w:val="00E6771F"/>
    <w:rsid w:val="00E7067E"/>
    <w:rsid w:val="00E7069B"/>
    <w:rsid w:val="00E70A9B"/>
    <w:rsid w:val="00E70C2B"/>
    <w:rsid w:val="00E71DE7"/>
    <w:rsid w:val="00E71F46"/>
    <w:rsid w:val="00E7268A"/>
    <w:rsid w:val="00E7388E"/>
    <w:rsid w:val="00E7416C"/>
    <w:rsid w:val="00E752D3"/>
    <w:rsid w:val="00E75379"/>
    <w:rsid w:val="00E75402"/>
    <w:rsid w:val="00E76105"/>
    <w:rsid w:val="00E764F7"/>
    <w:rsid w:val="00E76BBC"/>
    <w:rsid w:val="00E76EEE"/>
    <w:rsid w:val="00E76FD0"/>
    <w:rsid w:val="00E77264"/>
    <w:rsid w:val="00E7789D"/>
    <w:rsid w:val="00E77A19"/>
    <w:rsid w:val="00E77D5F"/>
    <w:rsid w:val="00E806B4"/>
    <w:rsid w:val="00E8094A"/>
    <w:rsid w:val="00E81187"/>
    <w:rsid w:val="00E81375"/>
    <w:rsid w:val="00E81533"/>
    <w:rsid w:val="00E81BF0"/>
    <w:rsid w:val="00E81F56"/>
    <w:rsid w:val="00E81F60"/>
    <w:rsid w:val="00E82986"/>
    <w:rsid w:val="00E82E41"/>
    <w:rsid w:val="00E82F5F"/>
    <w:rsid w:val="00E83353"/>
    <w:rsid w:val="00E83E41"/>
    <w:rsid w:val="00E85060"/>
    <w:rsid w:val="00E8531F"/>
    <w:rsid w:val="00E85697"/>
    <w:rsid w:val="00E8573D"/>
    <w:rsid w:val="00E85CBC"/>
    <w:rsid w:val="00E85F60"/>
    <w:rsid w:val="00E85FF6"/>
    <w:rsid w:val="00E864B0"/>
    <w:rsid w:val="00E86780"/>
    <w:rsid w:val="00E86DB1"/>
    <w:rsid w:val="00E87230"/>
    <w:rsid w:val="00E87719"/>
    <w:rsid w:val="00E9014F"/>
    <w:rsid w:val="00E919F7"/>
    <w:rsid w:val="00E92412"/>
    <w:rsid w:val="00E92418"/>
    <w:rsid w:val="00E92CA1"/>
    <w:rsid w:val="00E94A4E"/>
    <w:rsid w:val="00E94F56"/>
    <w:rsid w:val="00E95014"/>
    <w:rsid w:val="00E95233"/>
    <w:rsid w:val="00E9528E"/>
    <w:rsid w:val="00E96068"/>
    <w:rsid w:val="00E96EFE"/>
    <w:rsid w:val="00E96FEF"/>
    <w:rsid w:val="00E97BF3"/>
    <w:rsid w:val="00EA060B"/>
    <w:rsid w:val="00EA0D46"/>
    <w:rsid w:val="00EA12FA"/>
    <w:rsid w:val="00EA1943"/>
    <w:rsid w:val="00EA2094"/>
    <w:rsid w:val="00EA35CB"/>
    <w:rsid w:val="00EA386B"/>
    <w:rsid w:val="00EA3D9D"/>
    <w:rsid w:val="00EA437E"/>
    <w:rsid w:val="00EA4544"/>
    <w:rsid w:val="00EA504F"/>
    <w:rsid w:val="00EA508C"/>
    <w:rsid w:val="00EA55A6"/>
    <w:rsid w:val="00EA58FB"/>
    <w:rsid w:val="00EB04C7"/>
    <w:rsid w:val="00EB0534"/>
    <w:rsid w:val="00EB0B72"/>
    <w:rsid w:val="00EB0DD2"/>
    <w:rsid w:val="00EB1751"/>
    <w:rsid w:val="00EB1CB8"/>
    <w:rsid w:val="00EB2E23"/>
    <w:rsid w:val="00EB378B"/>
    <w:rsid w:val="00EB3C63"/>
    <w:rsid w:val="00EB45B7"/>
    <w:rsid w:val="00EB51CE"/>
    <w:rsid w:val="00EB591C"/>
    <w:rsid w:val="00EB6142"/>
    <w:rsid w:val="00EB6807"/>
    <w:rsid w:val="00EB766C"/>
    <w:rsid w:val="00EC06D0"/>
    <w:rsid w:val="00EC0C8D"/>
    <w:rsid w:val="00EC0F48"/>
    <w:rsid w:val="00EC17AD"/>
    <w:rsid w:val="00EC29FB"/>
    <w:rsid w:val="00EC3046"/>
    <w:rsid w:val="00EC3A22"/>
    <w:rsid w:val="00EC4848"/>
    <w:rsid w:val="00EC4E90"/>
    <w:rsid w:val="00EC541F"/>
    <w:rsid w:val="00EC57E6"/>
    <w:rsid w:val="00EC6657"/>
    <w:rsid w:val="00EC672A"/>
    <w:rsid w:val="00EC6FF4"/>
    <w:rsid w:val="00EC77E4"/>
    <w:rsid w:val="00EC7D8B"/>
    <w:rsid w:val="00EC7F72"/>
    <w:rsid w:val="00ED0F72"/>
    <w:rsid w:val="00ED127C"/>
    <w:rsid w:val="00ED18BE"/>
    <w:rsid w:val="00ED1EE6"/>
    <w:rsid w:val="00ED2F1B"/>
    <w:rsid w:val="00ED30EC"/>
    <w:rsid w:val="00ED3383"/>
    <w:rsid w:val="00ED33C4"/>
    <w:rsid w:val="00ED344D"/>
    <w:rsid w:val="00ED36A9"/>
    <w:rsid w:val="00ED3DAB"/>
    <w:rsid w:val="00ED5934"/>
    <w:rsid w:val="00ED6934"/>
    <w:rsid w:val="00ED6C73"/>
    <w:rsid w:val="00ED70E2"/>
    <w:rsid w:val="00ED73B9"/>
    <w:rsid w:val="00ED74B4"/>
    <w:rsid w:val="00ED7950"/>
    <w:rsid w:val="00ED7FA2"/>
    <w:rsid w:val="00EE162B"/>
    <w:rsid w:val="00EE2064"/>
    <w:rsid w:val="00EE2CB8"/>
    <w:rsid w:val="00EE2E1A"/>
    <w:rsid w:val="00EE31B6"/>
    <w:rsid w:val="00EE3441"/>
    <w:rsid w:val="00EE35DD"/>
    <w:rsid w:val="00EE35E6"/>
    <w:rsid w:val="00EE3AF0"/>
    <w:rsid w:val="00EE3F77"/>
    <w:rsid w:val="00EE5DF4"/>
    <w:rsid w:val="00EE6BDF"/>
    <w:rsid w:val="00EE6E1E"/>
    <w:rsid w:val="00EE7797"/>
    <w:rsid w:val="00EE7E22"/>
    <w:rsid w:val="00EF03AA"/>
    <w:rsid w:val="00EF09F3"/>
    <w:rsid w:val="00EF0FDD"/>
    <w:rsid w:val="00EF184C"/>
    <w:rsid w:val="00EF21F6"/>
    <w:rsid w:val="00EF28A9"/>
    <w:rsid w:val="00EF29A2"/>
    <w:rsid w:val="00EF47DD"/>
    <w:rsid w:val="00EF4FBD"/>
    <w:rsid w:val="00EF539C"/>
    <w:rsid w:val="00EF59F9"/>
    <w:rsid w:val="00EF70B1"/>
    <w:rsid w:val="00EF720C"/>
    <w:rsid w:val="00F0080C"/>
    <w:rsid w:val="00F00B75"/>
    <w:rsid w:val="00F00BC4"/>
    <w:rsid w:val="00F018C0"/>
    <w:rsid w:val="00F020A4"/>
    <w:rsid w:val="00F025A2"/>
    <w:rsid w:val="00F0272C"/>
    <w:rsid w:val="00F02781"/>
    <w:rsid w:val="00F02D04"/>
    <w:rsid w:val="00F039D4"/>
    <w:rsid w:val="00F04AD1"/>
    <w:rsid w:val="00F04B68"/>
    <w:rsid w:val="00F04EF1"/>
    <w:rsid w:val="00F05783"/>
    <w:rsid w:val="00F05E41"/>
    <w:rsid w:val="00F0605A"/>
    <w:rsid w:val="00F06622"/>
    <w:rsid w:val="00F0737D"/>
    <w:rsid w:val="00F07BC7"/>
    <w:rsid w:val="00F10354"/>
    <w:rsid w:val="00F104EB"/>
    <w:rsid w:val="00F109A8"/>
    <w:rsid w:val="00F10A59"/>
    <w:rsid w:val="00F10C48"/>
    <w:rsid w:val="00F111F6"/>
    <w:rsid w:val="00F11C08"/>
    <w:rsid w:val="00F1250B"/>
    <w:rsid w:val="00F12CA3"/>
    <w:rsid w:val="00F14172"/>
    <w:rsid w:val="00F14851"/>
    <w:rsid w:val="00F149B6"/>
    <w:rsid w:val="00F14A1C"/>
    <w:rsid w:val="00F155B4"/>
    <w:rsid w:val="00F1646F"/>
    <w:rsid w:val="00F16937"/>
    <w:rsid w:val="00F16F75"/>
    <w:rsid w:val="00F172A2"/>
    <w:rsid w:val="00F17826"/>
    <w:rsid w:val="00F20112"/>
    <w:rsid w:val="00F22E18"/>
    <w:rsid w:val="00F22E87"/>
    <w:rsid w:val="00F22F5A"/>
    <w:rsid w:val="00F2341C"/>
    <w:rsid w:val="00F24150"/>
    <w:rsid w:val="00F24237"/>
    <w:rsid w:val="00F24450"/>
    <w:rsid w:val="00F246D9"/>
    <w:rsid w:val="00F25510"/>
    <w:rsid w:val="00F256BB"/>
    <w:rsid w:val="00F26952"/>
    <w:rsid w:val="00F26AB1"/>
    <w:rsid w:val="00F279B2"/>
    <w:rsid w:val="00F27F4A"/>
    <w:rsid w:val="00F3130D"/>
    <w:rsid w:val="00F31A94"/>
    <w:rsid w:val="00F31CC2"/>
    <w:rsid w:val="00F324D7"/>
    <w:rsid w:val="00F32C4B"/>
    <w:rsid w:val="00F32DD4"/>
    <w:rsid w:val="00F3423F"/>
    <w:rsid w:val="00F347AB"/>
    <w:rsid w:val="00F34F06"/>
    <w:rsid w:val="00F35381"/>
    <w:rsid w:val="00F353BA"/>
    <w:rsid w:val="00F354F2"/>
    <w:rsid w:val="00F3596A"/>
    <w:rsid w:val="00F35B22"/>
    <w:rsid w:val="00F37745"/>
    <w:rsid w:val="00F3780F"/>
    <w:rsid w:val="00F4022D"/>
    <w:rsid w:val="00F408CD"/>
    <w:rsid w:val="00F4096E"/>
    <w:rsid w:val="00F42412"/>
    <w:rsid w:val="00F43931"/>
    <w:rsid w:val="00F439EC"/>
    <w:rsid w:val="00F4407D"/>
    <w:rsid w:val="00F44A2C"/>
    <w:rsid w:val="00F46A31"/>
    <w:rsid w:val="00F51928"/>
    <w:rsid w:val="00F51975"/>
    <w:rsid w:val="00F51A6E"/>
    <w:rsid w:val="00F51AB4"/>
    <w:rsid w:val="00F5231F"/>
    <w:rsid w:val="00F525D3"/>
    <w:rsid w:val="00F528F9"/>
    <w:rsid w:val="00F52E13"/>
    <w:rsid w:val="00F5342D"/>
    <w:rsid w:val="00F53DD4"/>
    <w:rsid w:val="00F540D4"/>
    <w:rsid w:val="00F54398"/>
    <w:rsid w:val="00F543E4"/>
    <w:rsid w:val="00F55236"/>
    <w:rsid w:val="00F5525A"/>
    <w:rsid w:val="00F55410"/>
    <w:rsid w:val="00F572E7"/>
    <w:rsid w:val="00F57452"/>
    <w:rsid w:val="00F60C6B"/>
    <w:rsid w:val="00F61C13"/>
    <w:rsid w:val="00F61C7E"/>
    <w:rsid w:val="00F63B5C"/>
    <w:rsid w:val="00F6485B"/>
    <w:rsid w:val="00F64E94"/>
    <w:rsid w:val="00F65027"/>
    <w:rsid w:val="00F65533"/>
    <w:rsid w:val="00F661EA"/>
    <w:rsid w:val="00F66A11"/>
    <w:rsid w:val="00F6708F"/>
    <w:rsid w:val="00F67659"/>
    <w:rsid w:val="00F676BA"/>
    <w:rsid w:val="00F6799B"/>
    <w:rsid w:val="00F67DB2"/>
    <w:rsid w:val="00F701EA"/>
    <w:rsid w:val="00F70682"/>
    <w:rsid w:val="00F7116E"/>
    <w:rsid w:val="00F7125B"/>
    <w:rsid w:val="00F71DD6"/>
    <w:rsid w:val="00F72A01"/>
    <w:rsid w:val="00F72E25"/>
    <w:rsid w:val="00F738D7"/>
    <w:rsid w:val="00F73F5C"/>
    <w:rsid w:val="00F7472E"/>
    <w:rsid w:val="00F74BDC"/>
    <w:rsid w:val="00F75903"/>
    <w:rsid w:val="00F759F0"/>
    <w:rsid w:val="00F75C37"/>
    <w:rsid w:val="00F76964"/>
    <w:rsid w:val="00F76B3B"/>
    <w:rsid w:val="00F77861"/>
    <w:rsid w:val="00F80A1E"/>
    <w:rsid w:val="00F80D1D"/>
    <w:rsid w:val="00F81105"/>
    <w:rsid w:val="00F81AE9"/>
    <w:rsid w:val="00F82440"/>
    <w:rsid w:val="00F829B5"/>
    <w:rsid w:val="00F82A75"/>
    <w:rsid w:val="00F82C1F"/>
    <w:rsid w:val="00F82E11"/>
    <w:rsid w:val="00F832F0"/>
    <w:rsid w:val="00F83595"/>
    <w:rsid w:val="00F83667"/>
    <w:rsid w:val="00F85669"/>
    <w:rsid w:val="00F861C9"/>
    <w:rsid w:val="00F86819"/>
    <w:rsid w:val="00F87413"/>
    <w:rsid w:val="00F915FD"/>
    <w:rsid w:val="00F91F4F"/>
    <w:rsid w:val="00F9317B"/>
    <w:rsid w:val="00F936D4"/>
    <w:rsid w:val="00F93948"/>
    <w:rsid w:val="00F94386"/>
    <w:rsid w:val="00F94F60"/>
    <w:rsid w:val="00F956F0"/>
    <w:rsid w:val="00F95A02"/>
    <w:rsid w:val="00F95BBD"/>
    <w:rsid w:val="00F96237"/>
    <w:rsid w:val="00F963B3"/>
    <w:rsid w:val="00F973AC"/>
    <w:rsid w:val="00F97582"/>
    <w:rsid w:val="00F97CFF"/>
    <w:rsid w:val="00F97E1F"/>
    <w:rsid w:val="00FA0CDE"/>
    <w:rsid w:val="00FA1D22"/>
    <w:rsid w:val="00FA1EC6"/>
    <w:rsid w:val="00FA24E1"/>
    <w:rsid w:val="00FA3BB1"/>
    <w:rsid w:val="00FA43B9"/>
    <w:rsid w:val="00FA46AF"/>
    <w:rsid w:val="00FA61F1"/>
    <w:rsid w:val="00FA63B6"/>
    <w:rsid w:val="00FA64F6"/>
    <w:rsid w:val="00FA64FF"/>
    <w:rsid w:val="00FA684A"/>
    <w:rsid w:val="00FA6C79"/>
    <w:rsid w:val="00FA6D7B"/>
    <w:rsid w:val="00FA7BCC"/>
    <w:rsid w:val="00FB029D"/>
    <w:rsid w:val="00FB069C"/>
    <w:rsid w:val="00FB08FF"/>
    <w:rsid w:val="00FB383E"/>
    <w:rsid w:val="00FB398B"/>
    <w:rsid w:val="00FB3F72"/>
    <w:rsid w:val="00FB4AA8"/>
    <w:rsid w:val="00FB4DB5"/>
    <w:rsid w:val="00FB5432"/>
    <w:rsid w:val="00FB5BEF"/>
    <w:rsid w:val="00FB6119"/>
    <w:rsid w:val="00FB6BD6"/>
    <w:rsid w:val="00FB727B"/>
    <w:rsid w:val="00FB7645"/>
    <w:rsid w:val="00FC0D32"/>
    <w:rsid w:val="00FC0E18"/>
    <w:rsid w:val="00FC1341"/>
    <w:rsid w:val="00FC1577"/>
    <w:rsid w:val="00FC3030"/>
    <w:rsid w:val="00FC3081"/>
    <w:rsid w:val="00FC5166"/>
    <w:rsid w:val="00FC51F6"/>
    <w:rsid w:val="00FC5303"/>
    <w:rsid w:val="00FC55D8"/>
    <w:rsid w:val="00FC62B5"/>
    <w:rsid w:val="00FC665A"/>
    <w:rsid w:val="00FC747E"/>
    <w:rsid w:val="00FD0757"/>
    <w:rsid w:val="00FD222B"/>
    <w:rsid w:val="00FD25C5"/>
    <w:rsid w:val="00FD28F1"/>
    <w:rsid w:val="00FD2EC3"/>
    <w:rsid w:val="00FD3415"/>
    <w:rsid w:val="00FD37D8"/>
    <w:rsid w:val="00FD3EA2"/>
    <w:rsid w:val="00FD4286"/>
    <w:rsid w:val="00FD43BB"/>
    <w:rsid w:val="00FD499B"/>
    <w:rsid w:val="00FD52B4"/>
    <w:rsid w:val="00FD55D9"/>
    <w:rsid w:val="00FD6537"/>
    <w:rsid w:val="00FD6AAA"/>
    <w:rsid w:val="00FD6C9C"/>
    <w:rsid w:val="00FD6D64"/>
    <w:rsid w:val="00FD7376"/>
    <w:rsid w:val="00FE0190"/>
    <w:rsid w:val="00FE0522"/>
    <w:rsid w:val="00FE18AB"/>
    <w:rsid w:val="00FE24C9"/>
    <w:rsid w:val="00FE29CB"/>
    <w:rsid w:val="00FE2EA3"/>
    <w:rsid w:val="00FE3916"/>
    <w:rsid w:val="00FE3FBC"/>
    <w:rsid w:val="00FE5509"/>
    <w:rsid w:val="00FE673A"/>
    <w:rsid w:val="00FE6981"/>
    <w:rsid w:val="00FE6C9C"/>
    <w:rsid w:val="00FE762C"/>
    <w:rsid w:val="00FE7632"/>
    <w:rsid w:val="00FE7D50"/>
    <w:rsid w:val="00FF0654"/>
    <w:rsid w:val="00FF0AEA"/>
    <w:rsid w:val="00FF1467"/>
    <w:rsid w:val="00FF16A6"/>
    <w:rsid w:val="00FF2C7C"/>
    <w:rsid w:val="00FF328F"/>
    <w:rsid w:val="00FF3844"/>
    <w:rsid w:val="00FF52A5"/>
    <w:rsid w:val="00FF52A6"/>
    <w:rsid w:val="00FF6868"/>
    <w:rsid w:val="00FF6DB9"/>
    <w:rsid w:val="00FF76E8"/>
    <w:rsid w:val="05DF2B74"/>
    <w:rsid w:val="0B81CB01"/>
    <w:rsid w:val="0F353022"/>
    <w:rsid w:val="0FD5DA2B"/>
    <w:rsid w:val="12883CA1"/>
    <w:rsid w:val="139FC65D"/>
    <w:rsid w:val="16EA8F1A"/>
    <w:rsid w:val="16FCA9DA"/>
    <w:rsid w:val="1EAA680C"/>
    <w:rsid w:val="244DE451"/>
    <w:rsid w:val="2C83CE35"/>
    <w:rsid w:val="2DB295F2"/>
    <w:rsid w:val="2E988E21"/>
    <w:rsid w:val="2F1D8DB9"/>
    <w:rsid w:val="2F80EC13"/>
    <w:rsid w:val="30211DA5"/>
    <w:rsid w:val="3313734C"/>
    <w:rsid w:val="33D913A8"/>
    <w:rsid w:val="3F17130F"/>
    <w:rsid w:val="40CD4238"/>
    <w:rsid w:val="43D2D3F5"/>
    <w:rsid w:val="47ADD728"/>
    <w:rsid w:val="4A5B60E5"/>
    <w:rsid w:val="513AE77F"/>
    <w:rsid w:val="587879AB"/>
    <w:rsid w:val="5D6A3E5B"/>
    <w:rsid w:val="5F3FA56B"/>
    <w:rsid w:val="6469FA8B"/>
    <w:rsid w:val="64DEE458"/>
    <w:rsid w:val="6B0081BD"/>
    <w:rsid w:val="6B477A40"/>
    <w:rsid w:val="70101176"/>
    <w:rsid w:val="71569DCE"/>
    <w:rsid w:val="717F7272"/>
    <w:rsid w:val="72DA8ED6"/>
    <w:rsid w:val="73AAF07D"/>
    <w:rsid w:val="753E3984"/>
    <w:rsid w:val="7FEE63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027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D7"/>
    <w:pPr>
      <w:spacing w:before="120" w:after="120" w:line="288" w:lineRule="auto"/>
    </w:pPr>
    <w:rPr>
      <w:rFonts w:ascii="Helvetica Light" w:hAnsi="Helvetica Light"/>
      <w:sz w:val="23"/>
    </w:rPr>
  </w:style>
  <w:style w:type="paragraph" w:styleId="Heading1">
    <w:name w:val="heading 1"/>
    <w:basedOn w:val="Normal"/>
    <w:next w:val="Normal"/>
    <w:link w:val="Heading1Char"/>
    <w:uiPriority w:val="9"/>
    <w:qFormat/>
    <w:rsid w:val="004B7D88"/>
    <w:pPr>
      <w:keepNext/>
      <w:keepLines/>
      <w:pBdr>
        <w:bottom w:val="single" w:sz="8" w:space="1" w:color="0B3D91" w:themeColor="accent1"/>
      </w:pBdr>
      <w:spacing w:before="360"/>
      <w:outlineLvl w:val="0"/>
    </w:pPr>
    <w:rPr>
      <w:rFonts w:asciiTheme="majorHAnsi" w:eastAsiaTheme="majorEastAsia" w:hAnsiTheme="majorHAnsi" w:cstheme="majorBidi"/>
      <w:b/>
      <w:color w:val="0B3D91" w:themeColor="accent1"/>
      <w:sz w:val="32"/>
      <w:szCs w:val="32"/>
    </w:rPr>
  </w:style>
  <w:style w:type="paragraph" w:styleId="Heading2">
    <w:name w:val="heading 2"/>
    <w:basedOn w:val="Normal"/>
    <w:next w:val="Normal"/>
    <w:link w:val="Heading2Char"/>
    <w:uiPriority w:val="9"/>
    <w:unhideWhenUsed/>
    <w:qFormat/>
    <w:rsid w:val="00B10C6F"/>
    <w:pPr>
      <w:keepNext/>
      <w:keepLines/>
      <w:spacing w:before="280" w:after="0"/>
      <w:outlineLvl w:val="1"/>
    </w:pPr>
    <w:rPr>
      <w:rFonts w:asciiTheme="majorHAnsi" w:eastAsiaTheme="majorEastAsia" w:hAnsiTheme="majorHAnsi" w:cstheme="majorBidi"/>
      <w:b/>
      <w:color w:val="0B3D91" w:themeColor="accent1"/>
      <w:sz w:val="26"/>
      <w:szCs w:val="26"/>
    </w:rPr>
  </w:style>
  <w:style w:type="paragraph" w:styleId="Heading3">
    <w:name w:val="heading 3"/>
    <w:basedOn w:val="Normal"/>
    <w:next w:val="Normal"/>
    <w:link w:val="Heading3Char"/>
    <w:uiPriority w:val="9"/>
    <w:unhideWhenUsed/>
    <w:qFormat/>
    <w:rsid w:val="00B10C6F"/>
    <w:pPr>
      <w:keepNext/>
      <w:keepLines/>
      <w:spacing w:before="280" w:after="0"/>
      <w:outlineLvl w:val="2"/>
    </w:pPr>
    <w:rPr>
      <w:rFonts w:asciiTheme="majorHAnsi" w:eastAsiaTheme="majorEastAsia" w:hAnsiTheme="majorHAnsi" w:cstheme="majorBidi"/>
      <w:color w:val="0B3D91" w:themeColor="accent1"/>
      <w:sz w:val="24"/>
    </w:rPr>
  </w:style>
  <w:style w:type="paragraph" w:styleId="Heading4">
    <w:name w:val="heading 4"/>
    <w:basedOn w:val="Normal"/>
    <w:next w:val="NoSpacing"/>
    <w:link w:val="Heading4Char"/>
    <w:uiPriority w:val="9"/>
    <w:unhideWhenUsed/>
    <w:qFormat/>
    <w:rsid w:val="00B10C6F"/>
    <w:pPr>
      <w:keepNext/>
      <w:keepLines/>
      <w:spacing w:before="280" w:after="0"/>
      <w:outlineLvl w:val="3"/>
    </w:pPr>
    <w:rPr>
      <w:rFonts w:asciiTheme="majorHAnsi" w:eastAsiaTheme="majorEastAsia" w:hAnsiTheme="majorHAnsi" w:cstheme="majorBidi"/>
      <w:i/>
      <w:iCs/>
      <w:color w:val="0B3D91" w:themeColor="accent1"/>
    </w:rPr>
  </w:style>
  <w:style w:type="paragraph" w:styleId="Heading5">
    <w:name w:val="heading 5"/>
    <w:basedOn w:val="Normal"/>
    <w:next w:val="Normal"/>
    <w:link w:val="Heading5Char"/>
    <w:uiPriority w:val="9"/>
    <w:unhideWhenUsed/>
    <w:qFormat/>
    <w:rsid w:val="00DC7C55"/>
    <w:pPr>
      <w:keepNext/>
      <w:keepLines/>
      <w:spacing w:before="40" w:after="0"/>
      <w:outlineLvl w:val="4"/>
    </w:pPr>
    <w:rPr>
      <w:rFonts w:asciiTheme="majorHAnsi" w:eastAsiaTheme="majorEastAsia" w:hAnsiTheme="majorHAnsi" w:cstheme="majorBidi"/>
      <w:color w:val="082D6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office-name">
    <w:name w:val="title-page-office-name"/>
    <w:basedOn w:val="Normal"/>
    <w:uiPriority w:val="95"/>
    <w:semiHidden/>
    <w:rsid w:val="006A5120"/>
    <w:pPr>
      <w:ind w:left="3240"/>
    </w:pPr>
    <w:rPr>
      <w:rFonts w:asciiTheme="majorHAnsi" w:hAnsiTheme="majorHAnsi"/>
      <w:b/>
    </w:rPr>
  </w:style>
  <w:style w:type="paragraph" w:customStyle="1" w:styleId="title-page-title">
    <w:name w:val="title-page-title"/>
    <w:basedOn w:val="Normal"/>
    <w:uiPriority w:val="95"/>
    <w:semiHidden/>
    <w:rsid w:val="00095539"/>
    <w:pPr>
      <w:spacing w:before="2880"/>
      <w:ind w:left="3240"/>
    </w:pPr>
    <w:rPr>
      <w:rFonts w:asciiTheme="majorHAnsi" w:hAnsiTheme="majorHAnsi"/>
      <w:b/>
      <w:sz w:val="56"/>
    </w:rPr>
  </w:style>
  <w:style w:type="paragraph" w:customStyle="1" w:styleId="title-page-authors">
    <w:name w:val="title-page-authors"/>
    <w:basedOn w:val="Normal"/>
    <w:uiPriority w:val="95"/>
    <w:semiHidden/>
    <w:rsid w:val="00976464"/>
    <w:pPr>
      <w:spacing w:before="720"/>
      <w:ind w:left="3240"/>
    </w:pPr>
  </w:style>
  <w:style w:type="paragraph" w:customStyle="1" w:styleId="title-page-reviewers">
    <w:name w:val="title-page-reviewers"/>
    <w:basedOn w:val="title-page-authors"/>
    <w:uiPriority w:val="95"/>
    <w:semiHidden/>
    <w:rsid w:val="00D053E0"/>
    <w:pPr>
      <w:framePr w:wrap="around" w:hAnchor="margin" w:x="3241" w:yAlign="bottom" w:anchorLock="1"/>
      <w:ind w:left="0"/>
    </w:pPr>
  </w:style>
  <w:style w:type="paragraph" w:customStyle="1" w:styleId="title-page-docid">
    <w:name w:val="title-page-docid"/>
    <w:basedOn w:val="Normal"/>
    <w:uiPriority w:val="95"/>
    <w:semiHidden/>
    <w:rsid w:val="002256F6"/>
    <w:pPr>
      <w:framePr w:w="2880" w:wrap="around" w:vAnchor="page" w:hAnchor="text" w:y="9361" w:anchorLock="1"/>
    </w:pPr>
  </w:style>
  <w:style w:type="paragraph" w:customStyle="1" w:styleId="title-page-address">
    <w:name w:val="title-page-address"/>
    <w:basedOn w:val="Normal"/>
    <w:uiPriority w:val="95"/>
    <w:semiHidden/>
    <w:rsid w:val="00B42F58"/>
    <w:pPr>
      <w:framePr w:w="2880" w:wrap="around" w:hAnchor="text" w:yAlign="bottom" w:anchorLock="1"/>
      <w:contextualSpacing/>
    </w:pPr>
    <w:rPr>
      <w:sz w:val="20"/>
    </w:rPr>
  </w:style>
  <w:style w:type="paragraph" w:customStyle="1" w:styleId="toc-header">
    <w:name w:val="toc-header"/>
    <w:basedOn w:val="Heading1"/>
    <w:next w:val="Normal"/>
    <w:uiPriority w:val="95"/>
    <w:semiHidden/>
    <w:rsid w:val="00A80FE2"/>
    <w:pPr>
      <w:pageBreakBefore/>
      <w:pBdr>
        <w:bottom w:val="single" w:sz="12" w:space="1" w:color="auto"/>
      </w:pBdr>
      <w:spacing w:after="480"/>
    </w:pPr>
    <w:rPr>
      <w:rFonts w:cs="Times New Roman (Headings CS)"/>
      <w:sz w:val="56"/>
    </w:rPr>
  </w:style>
  <w:style w:type="character" w:customStyle="1" w:styleId="Heading1Char">
    <w:name w:val="Heading 1 Char"/>
    <w:basedOn w:val="DefaultParagraphFont"/>
    <w:link w:val="Heading1"/>
    <w:uiPriority w:val="9"/>
    <w:rsid w:val="004B7D88"/>
    <w:rPr>
      <w:rFonts w:asciiTheme="majorHAnsi" w:eastAsiaTheme="majorEastAsia" w:hAnsiTheme="majorHAnsi" w:cstheme="majorBidi"/>
      <w:b/>
      <w:color w:val="0B3D91" w:themeColor="accent1"/>
      <w:sz w:val="32"/>
      <w:szCs w:val="32"/>
    </w:rPr>
  </w:style>
  <w:style w:type="paragraph" w:styleId="TOC2">
    <w:name w:val="toc 2"/>
    <w:basedOn w:val="Normal"/>
    <w:next w:val="Normal"/>
    <w:autoRedefine/>
    <w:uiPriority w:val="39"/>
    <w:unhideWhenUsed/>
    <w:rsid w:val="0039681F"/>
    <w:pPr>
      <w:ind w:left="240"/>
    </w:pPr>
    <w:rPr>
      <w:rFonts w:cstheme="minorHAnsi"/>
      <w:b/>
      <w:bCs/>
      <w:sz w:val="22"/>
      <w:szCs w:val="22"/>
    </w:rPr>
  </w:style>
  <w:style w:type="paragraph" w:styleId="TOC1">
    <w:name w:val="toc 1"/>
    <w:basedOn w:val="Normal"/>
    <w:next w:val="Normal"/>
    <w:autoRedefine/>
    <w:uiPriority w:val="39"/>
    <w:unhideWhenUsed/>
    <w:rsid w:val="00534FD7"/>
    <w:rPr>
      <w:rFonts w:asciiTheme="majorHAnsi" w:hAnsiTheme="majorHAnsi" w:cstheme="minorHAnsi"/>
      <w:b/>
      <w:bCs/>
      <w:iCs/>
    </w:rPr>
  </w:style>
  <w:style w:type="paragraph" w:styleId="TOC3">
    <w:name w:val="toc 3"/>
    <w:basedOn w:val="Normal"/>
    <w:next w:val="Normal"/>
    <w:autoRedefine/>
    <w:uiPriority w:val="39"/>
    <w:unhideWhenUsed/>
    <w:rsid w:val="0039681F"/>
    <w:pPr>
      <w:ind w:left="480"/>
    </w:pPr>
    <w:rPr>
      <w:rFonts w:cstheme="minorHAnsi"/>
      <w:sz w:val="20"/>
      <w:szCs w:val="20"/>
    </w:rPr>
  </w:style>
  <w:style w:type="paragraph" w:styleId="TOC4">
    <w:name w:val="toc 4"/>
    <w:basedOn w:val="Normal"/>
    <w:next w:val="Normal"/>
    <w:autoRedefine/>
    <w:uiPriority w:val="39"/>
    <w:semiHidden/>
    <w:unhideWhenUsed/>
    <w:rsid w:val="0039681F"/>
    <w:pPr>
      <w:ind w:left="720"/>
    </w:pPr>
    <w:rPr>
      <w:rFonts w:cstheme="minorHAnsi"/>
      <w:sz w:val="20"/>
      <w:szCs w:val="20"/>
    </w:rPr>
  </w:style>
  <w:style w:type="paragraph" w:styleId="TOC5">
    <w:name w:val="toc 5"/>
    <w:basedOn w:val="Normal"/>
    <w:next w:val="Normal"/>
    <w:autoRedefine/>
    <w:uiPriority w:val="39"/>
    <w:semiHidden/>
    <w:unhideWhenUsed/>
    <w:rsid w:val="0039681F"/>
    <w:pPr>
      <w:ind w:left="960"/>
    </w:pPr>
    <w:rPr>
      <w:rFonts w:cstheme="minorHAnsi"/>
      <w:sz w:val="20"/>
      <w:szCs w:val="20"/>
    </w:rPr>
  </w:style>
  <w:style w:type="paragraph" w:styleId="TOC6">
    <w:name w:val="toc 6"/>
    <w:basedOn w:val="Normal"/>
    <w:next w:val="Normal"/>
    <w:autoRedefine/>
    <w:uiPriority w:val="39"/>
    <w:semiHidden/>
    <w:unhideWhenUsed/>
    <w:rsid w:val="0039681F"/>
    <w:pPr>
      <w:ind w:left="1200"/>
    </w:pPr>
    <w:rPr>
      <w:rFonts w:cstheme="minorHAnsi"/>
      <w:sz w:val="20"/>
      <w:szCs w:val="20"/>
    </w:rPr>
  </w:style>
  <w:style w:type="paragraph" w:styleId="TOC7">
    <w:name w:val="toc 7"/>
    <w:basedOn w:val="Normal"/>
    <w:next w:val="Normal"/>
    <w:autoRedefine/>
    <w:uiPriority w:val="39"/>
    <w:semiHidden/>
    <w:unhideWhenUsed/>
    <w:rsid w:val="0039681F"/>
    <w:pPr>
      <w:ind w:left="1440"/>
    </w:pPr>
    <w:rPr>
      <w:rFonts w:cstheme="minorHAnsi"/>
      <w:sz w:val="20"/>
      <w:szCs w:val="20"/>
    </w:rPr>
  </w:style>
  <w:style w:type="paragraph" w:styleId="TOC8">
    <w:name w:val="toc 8"/>
    <w:basedOn w:val="Normal"/>
    <w:next w:val="Normal"/>
    <w:autoRedefine/>
    <w:uiPriority w:val="39"/>
    <w:semiHidden/>
    <w:unhideWhenUsed/>
    <w:rsid w:val="0039681F"/>
    <w:pPr>
      <w:ind w:left="1680"/>
    </w:pPr>
    <w:rPr>
      <w:rFonts w:cstheme="minorHAnsi"/>
      <w:sz w:val="20"/>
      <w:szCs w:val="20"/>
    </w:rPr>
  </w:style>
  <w:style w:type="paragraph" w:styleId="TOC9">
    <w:name w:val="toc 9"/>
    <w:basedOn w:val="Normal"/>
    <w:next w:val="Normal"/>
    <w:autoRedefine/>
    <w:uiPriority w:val="39"/>
    <w:semiHidden/>
    <w:unhideWhenUsed/>
    <w:rsid w:val="0039681F"/>
    <w:pPr>
      <w:ind w:left="1920"/>
    </w:pPr>
    <w:rPr>
      <w:rFonts w:cstheme="minorHAnsi"/>
      <w:sz w:val="20"/>
      <w:szCs w:val="20"/>
    </w:rPr>
  </w:style>
  <w:style w:type="character" w:styleId="Hyperlink">
    <w:name w:val="Hyperlink"/>
    <w:basedOn w:val="DefaultParagraphFont"/>
    <w:uiPriority w:val="99"/>
    <w:unhideWhenUsed/>
    <w:rsid w:val="0039681F"/>
    <w:rPr>
      <w:color w:val="0563C1" w:themeColor="hyperlink"/>
      <w:u w:val="single"/>
    </w:rPr>
  </w:style>
  <w:style w:type="character" w:customStyle="1" w:styleId="Heading2Char">
    <w:name w:val="Heading 2 Char"/>
    <w:basedOn w:val="DefaultParagraphFont"/>
    <w:link w:val="Heading2"/>
    <w:uiPriority w:val="9"/>
    <w:rsid w:val="00B10C6F"/>
    <w:rPr>
      <w:rFonts w:asciiTheme="majorHAnsi" w:eastAsiaTheme="majorEastAsia" w:hAnsiTheme="majorHAnsi" w:cstheme="majorBidi"/>
      <w:b/>
      <w:color w:val="0B3D91" w:themeColor="accent1"/>
      <w:sz w:val="26"/>
      <w:szCs w:val="26"/>
    </w:rPr>
  </w:style>
  <w:style w:type="character" w:customStyle="1" w:styleId="Heading3Char">
    <w:name w:val="Heading 3 Char"/>
    <w:basedOn w:val="DefaultParagraphFont"/>
    <w:link w:val="Heading3"/>
    <w:uiPriority w:val="9"/>
    <w:rsid w:val="00B10C6F"/>
    <w:rPr>
      <w:rFonts w:asciiTheme="majorHAnsi" w:eastAsiaTheme="majorEastAsia" w:hAnsiTheme="majorHAnsi" w:cstheme="majorBidi"/>
      <w:color w:val="0B3D91" w:themeColor="accent1"/>
    </w:rPr>
  </w:style>
  <w:style w:type="character" w:customStyle="1" w:styleId="Heading4Char">
    <w:name w:val="Heading 4 Char"/>
    <w:basedOn w:val="DefaultParagraphFont"/>
    <w:link w:val="Heading4"/>
    <w:uiPriority w:val="9"/>
    <w:rsid w:val="00B10C6F"/>
    <w:rPr>
      <w:rFonts w:asciiTheme="majorHAnsi" w:eastAsiaTheme="majorEastAsia" w:hAnsiTheme="majorHAnsi" w:cstheme="majorBidi"/>
      <w:i/>
      <w:iCs/>
      <w:color w:val="0B3D91" w:themeColor="accent1"/>
      <w:sz w:val="23"/>
    </w:rPr>
  </w:style>
  <w:style w:type="paragraph" w:styleId="ListParagraph">
    <w:name w:val="List Paragraph"/>
    <w:basedOn w:val="Normal"/>
    <w:uiPriority w:val="34"/>
    <w:qFormat/>
    <w:rsid w:val="0039681F"/>
    <w:pPr>
      <w:ind w:left="720"/>
      <w:contextualSpacing/>
    </w:pPr>
  </w:style>
  <w:style w:type="paragraph" w:styleId="Caption">
    <w:name w:val="caption"/>
    <w:basedOn w:val="Normal"/>
    <w:next w:val="Normal"/>
    <w:uiPriority w:val="35"/>
    <w:unhideWhenUsed/>
    <w:qFormat/>
    <w:rsid w:val="00254D30"/>
    <w:pPr>
      <w:spacing w:after="200"/>
    </w:pPr>
    <w:rPr>
      <w:i/>
      <w:iCs/>
      <w:color w:val="0B3D91" w:themeColor="accent1"/>
      <w:sz w:val="18"/>
      <w:szCs w:val="18"/>
    </w:rPr>
  </w:style>
  <w:style w:type="paragraph" w:customStyle="1" w:styleId="appendix-header">
    <w:name w:val="appendix-header"/>
    <w:basedOn w:val="toc-header"/>
    <w:next w:val="Normal"/>
    <w:rsid w:val="00C7578B"/>
    <w:rPr>
      <w:sz w:val="40"/>
    </w:rPr>
  </w:style>
  <w:style w:type="paragraph" w:styleId="Header">
    <w:name w:val="header"/>
    <w:basedOn w:val="Normal"/>
    <w:link w:val="HeaderChar"/>
    <w:uiPriority w:val="99"/>
    <w:unhideWhenUsed/>
    <w:rsid w:val="00060D65"/>
    <w:pPr>
      <w:tabs>
        <w:tab w:val="center" w:pos="4680"/>
        <w:tab w:val="right" w:pos="9360"/>
      </w:tabs>
      <w:spacing w:before="0" w:after="0"/>
    </w:pPr>
  </w:style>
  <w:style w:type="character" w:customStyle="1" w:styleId="HeaderChar">
    <w:name w:val="Header Char"/>
    <w:basedOn w:val="DefaultParagraphFont"/>
    <w:link w:val="Header"/>
    <w:uiPriority w:val="99"/>
    <w:rsid w:val="00060D65"/>
  </w:style>
  <w:style w:type="paragraph" w:styleId="Footer">
    <w:name w:val="footer"/>
    <w:basedOn w:val="Normal"/>
    <w:link w:val="FooterChar"/>
    <w:uiPriority w:val="99"/>
    <w:unhideWhenUsed/>
    <w:rsid w:val="00060D65"/>
    <w:pPr>
      <w:tabs>
        <w:tab w:val="center" w:pos="4680"/>
        <w:tab w:val="right" w:pos="9360"/>
      </w:tabs>
      <w:spacing w:before="0" w:after="0"/>
    </w:pPr>
  </w:style>
  <w:style w:type="character" w:customStyle="1" w:styleId="FooterChar">
    <w:name w:val="Footer Char"/>
    <w:basedOn w:val="DefaultParagraphFont"/>
    <w:link w:val="Footer"/>
    <w:uiPriority w:val="99"/>
    <w:rsid w:val="00060D65"/>
  </w:style>
  <w:style w:type="paragraph" w:customStyle="1" w:styleId="title-page-pubdate">
    <w:name w:val="title-page-pubdate"/>
    <w:basedOn w:val="Normal"/>
    <w:uiPriority w:val="95"/>
    <w:semiHidden/>
    <w:rsid w:val="00395796"/>
    <w:pPr>
      <w:framePr w:w="2880" w:wrap="around" w:hAnchor="text" w:y="7201" w:anchorLock="1"/>
    </w:pPr>
  </w:style>
  <w:style w:type="character" w:styleId="PageNumber">
    <w:name w:val="page number"/>
    <w:basedOn w:val="DefaultParagraphFont"/>
    <w:uiPriority w:val="99"/>
    <w:semiHidden/>
    <w:unhideWhenUsed/>
    <w:rsid w:val="0025200B"/>
  </w:style>
  <w:style w:type="paragraph" w:customStyle="1" w:styleId="exec-summary-header">
    <w:name w:val="exec-summary-header"/>
    <w:basedOn w:val="Heading1"/>
    <w:uiPriority w:val="90"/>
    <w:semiHidden/>
    <w:qFormat/>
    <w:rsid w:val="00A80FE2"/>
    <w:pPr>
      <w:pageBreakBefore/>
      <w:pBdr>
        <w:bottom w:val="none" w:sz="0" w:space="0" w:color="auto"/>
      </w:pBdr>
    </w:pPr>
    <w:rPr>
      <w:rFonts w:cs="Times New Roman (Headings CS)"/>
      <w:sz w:val="56"/>
    </w:rPr>
  </w:style>
  <w:style w:type="character" w:styleId="UnresolvedMention">
    <w:name w:val="Unresolved Mention"/>
    <w:basedOn w:val="DefaultParagraphFont"/>
    <w:uiPriority w:val="99"/>
    <w:semiHidden/>
    <w:unhideWhenUsed/>
    <w:rsid w:val="002B2624"/>
    <w:rPr>
      <w:color w:val="605E5C"/>
      <w:shd w:val="clear" w:color="auto" w:fill="E1DFDD"/>
    </w:rPr>
  </w:style>
  <w:style w:type="paragraph" w:customStyle="1" w:styleId="exec-summary-title">
    <w:name w:val="exec-summary-title"/>
    <w:basedOn w:val="exec-summary-header"/>
    <w:uiPriority w:val="80"/>
    <w:semiHidden/>
    <w:qFormat/>
    <w:rsid w:val="00A80FE2"/>
    <w:pPr>
      <w:pageBreakBefore w:val="0"/>
      <w:spacing w:before="120" w:after="180"/>
      <w:outlineLvl w:val="9"/>
    </w:pPr>
    <w:rPr>
      <w:color w:val="auto"/>
      <w:sz w:val="28"/>
    </w:rPr>
  </w:style>
  <w:style w:type="paragraph" w:customStyle="1" w:styleId="CUIMarking">
    <w:name w:val="CUI Marking"/>
    <w:basedOn w:val="Header"/>
    <w:uiPriority w:val="95"/>
    <w:semiHidden/>
    <w:qFormat/>
    <w:rsid w:val="00025003"/>
    <w:pPr>
      <w:jc w:val="center"/>
    </w:pPr>
    <w:rPr>
      <w:rFonts w:asciiTheme="majorHAnsi" w:hAnsiTheme="majorHAnsi"/>
      <w:b/>
      <w:sz w:val="40"/>
    </w:rPr>
  </w:style>
  <w:style w:type="paragraph" w:customStyle="1" w:styleId="exec-summary-date">
    <w:name w:val="exec-summary-date"/>
    <w:basedOn w:val="exec-summary-header"/>
    <w:uiPriority w:val="95"/>
    <w:semiHidden/>
    <w:qFormat/>
    <w:rsid w:val="00A80FE2"/>
    <w:pPr>
      <w:pageBreakBefore w:val="0"/>
      <w:framePr w:w="12240" w:h="864" w:hRule="exact" w:vSpace="144" w:wrap="notBeside" w:vAnchor="text" w:hAnchor="page" w:y="1"/>
      <w:pBdr>
        <w:top w:val="single" w:sz="2" w:space="12" w:color="0B3D91" w:themeColor="accent1"/>
      </w:pBdr>
      <w:shd w:val="clear" w:color="auto" w:fill="0B3D91" w:themeFill="accent1"/>
      <w:tabs>
        <w:tab w:val="left" w:pos="1440"/>
        <w:tab w:val="right" w:pos="10800"/>
      </w:tabs>
      <w:spacing w:before="60" w:after="0"/>
      <w:outlineLvl w:val="9"/>
    </w:pPr>
    <w:rPr>
      <w:b w:val="0"/>
      <w:bCs/>
      <w:color w:val="auto"/>
      <w:sz w:val="24"/>
      <w:szCs w:val="28"/>
    </w:rPr>
  </w:style>
  <w:style w:type="table" w:customStyle="1" w:styleId="OTPS">
    <w:name w:val="OTPS"/>
    <w:basedOn w:val="TableNormal"/>
    <w:uiPriority w:val="20"/>
    <w:rsid w:val="00C009AA"/>
    <w:pPr>
      <w:spacing w:before="60" w:after="60"/>
      <w:jc w:val="right"/>
    </w:pPr>
    <w:rPr>
      <w:sz w:val="22"/>
    </w:rPr>
    <w:tblPr>
      <w:tblStyleRowBandSize w:val="1"/>
    </w:tblPr>
    <w:tcPr>
      <w:vAlign w:val="center"/>
    </w:tcPr>
    <w:tblStylePr w:type="firstRow">
      <w:pPr>
        <w:wordWrap/>
        <w:spacing w:beforeLines="80" w:before="80" w:beforeAutospacing="0" w:line="240" w:lineRule="auto"/>
        <w:jc w:val="center"/>
      </w:pPr>
      <w:rPr>
        <w:rFonts w:asciiTheme="majorHAnsi" w:hAnsiTheme="majorHAnsi"/>
        <w:b/>
      </w:rPr>
      <w:tblPr/>
      <w:trPr>
        <w:cantSplit/>
        <w:tblHeader/>
      </w:trPr>
      <w:tcPr>
        <w:shd w:val="clear" w:color="auto" w:fill="0B3D91" w:themeFill="accent1"/>
        <w:vAlign w:val="top"/>
      </w:tcPr>
    </w:tblStylePr>
    <w:tblStylePr w:type="lastRow">
      <w:rPr>
        <w:rFonts w:asciiTheme="majorHAnsi" w:hAnsiTheme="majorHAnsi"/>
        <w:b/>
      </w:rPr>
      <w:tblPr/>
      <w:tcPr>
        <w:tcBorders>
          <w:top w:val="single" w:sz="2" w:space="0" w:color="0B3D91" w:themeColor="accent1"/>
          <w:left w:val="nil"/>
          <w:bottom w:val="nil"/>
          <w:right w:val="nil"/>
          <w:insideH w:val="nil"/>
          <w:insideV w:val="nil"/>
          <w:tl2br w:val="nil"/>
          <w:tr2bl w:val="nil"/>
        </w:tcBorders>
      </w:tcPr>
    </w:tblStylePr>
    <w:tblStylePr w:type="firstCol">
      <w:pPr>
        <w:wordWrap/>
        <w:spacing w:line="240" w:lineRule="auto"/>
        <w:ind w:leftChars="0" w:left="288" w:firstLineChars="0" w:hanging="288"/>
        <w:jc w:val="left"/>
      </w:pPr>
      <w:rPr>
        <w:rFonts w:asciiTheme="majorHAnsi" w:hAnsiTheme="majorHAnsi"/>
        <w:b/>
      </w:rPr>
      <w:tblPr/>
      <w:tcPr>
        <w:shd w:val="clear" w:color="auto" w:fill="BDD3FA" w:themeFill="accent1" w:themeFillTint="33"/>
      </w:tcPr>
    </w:tblStylePr>
    <w:tblStylePr w:type="band2Horz">
      <w:tblPr/>
      <w:tcPr>
        <w:shd w:val="clear" w:color="auto" w:fill="E0E9F6"/>
      </w:tcPr>
    </w:tblStylePr>
  </w:style>
  <w:style w:type="table" w:styleId="ListTable3-Accent1">
    <w:name w:val="List Table 3 Accent 1"/>
    <w:basedOn w:val="TableNormal"/>
    <w:uiPriority w:val="99"/>
    <w:rsid w:val="00844FD6"/>
    <w:tblPr>
      <w:tblStyleRowBandSize w:val="1"/>
      <w:tblStyleColBandSize w:val="1"/>
      <w:tblBorders>
        <w:top w:val="single" w:sz="4" w:space="0" w:color="0B3D91" w:themeColor="accent1"/>
        <w:left w:val="single" w:sz="4" w:space="0" w:color="0B3D91" w:themeColor="accent1"/>
        <w:bottom w:val="single" w:sz="4" w:space="0" w:color="0B3D91" w:themeColor="accent1"/>
        <w:right w:val="single" w:sz="4" w:space="0" w:color="0B3D91" w:themeColor="accent1"/>
      </w:tblBorders>
    </w:tblPr>
    <w:tblStylePr w:type="firstRow">
      <w:rPr>
        <w:b/>
        <w:bCs/>
        <w:color w:val="FFFFFF" w:themeColor="background1"/>
      </w:rPr>
      <w:tblPr/>
      <w:tcPr>
        <w:shd w:val="clear" w:color="auto" w:fill="0B3D91" w:themeFill="accent1"/>
      </w:tcPr>
    </w:tblStylePr>
    <w:tblStylePr w:type="lastRow">
      <w:rPr>
        <w:b/>
        <w:bCs/>
      </w:rPr>
      <w:tblPr/>
      <w:tcPr>
        <w:tcBorders>
          <w:top w:val="double" w:sz="4" w:space="0" w:color="0B3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3D91" w:themeColor="accent1"/>
          <w:right w:val="single" w:sz="4" w:space="0" w:color="0B3D91" w:themeColor="accent1"/>
        </w:tcBorders>
      </w:tcPr>
    </w:tblStylePr>
    <w:tblStylePr w:type="band1Horz">
      <w:tblPr/>
      <w:tcPr>
        <w:tcBorders>
          <w:top w:val="single" w:sz="4" w:space="0" w:color="0B3D91" w:themeColor="accent1"/>
          <w:bottom w:val="single" w:sz="4" w:space="0" w:color="0B3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3D91" w:themeColor="accent1"/>
          <w:left w:val="nil"/>
        </w:tcBorders>
      </w:tcPr>
    </w:tblStylePr>
    <w:tblStylePr w:type="swCell">
      <w:tblPr/>
      <w:tcPr>
        <w:tcBorders>
          <w:top w:val="double" w:sz="4" w:space="0" w:color="0B3D91" w:themeColor="accent1"/>
          <w:right w:val="nil"/>
        </w:tcBorders>
      </w:tcPr>
    </w:tblStylePr>
  </w:style>
  <w:style w:type="table" w:styleId="GridTable1Light">
    <w:name w:val="Grid Table 1 Light"/>
    <w:basedOn w:val="TableNormal"/>
    <w:uiPriority w:val="99"/>
    <w:rsid w:val="00844FD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B10C6F"/>
    <w:rPr>
      <w:rFonts w:ascii="Helvetica Light" w:hAnsi="Helvetica Light"/>
      <w:sz w:val="23"/>
    </w:rPr>
  </w:style>
  <w:style w:type="paragraph" w:styleId="NormalWeb">
    <w:name w:val="Normal (Web)"/>
    <w:basedOn w:val="Normal"/>
    <w:uiPriority w:val="99"/>
    <w:semiHidden/>
    <w:unhideWhenUsed/>
    <w:rsid w:val="00534FD7"/>
    <w:rPr>
      <w:rFonts w:asciiTheme="minorHAnsi" w:hAnsiTheme="minorHAnsi" w:cs="Times New Roman"/>
      <w:sz w:val="24"/>
    </w:rPr>
  </w:style>
  <w:style w:type="table" w:customStyle="1" w:styleId="OTPSPlain">
    <w:name w:val="OTPS Plain"/>
    <w:basedOn w:val="OTPS"/>
    <w:uiPriority w:val="12"/>
    <w:rsid w:val="00E52B88"/>
    <w:tblPr>
      <w:tblStyleColBandSize w:val="1"/>
      <w:tblBorders>
        <w:top w:val="single" w:sz="8" w:space="0" w:color="auto"/>
        <w:bottom w:val="single" w:sz="6" w:space="0" w:color="auto"/>
      </w:tblBorders>
    </w:tblPr>
    <w:tblStylePr w:type="firstRow">
      <w:pPr>
        <w:wordWrap/>
        <w:spacing w:beforeLines="80" w:before="80" w:beforeAutospacing="0" w:line="240" w:lineRule="auto"/>
        <w:jc w:val="center"/>
      </w:pPr>
      <w:rPr>
        <w:rFonts w:asciiTheme="majorHAnsi" w:hAnsiTheme="majorHAnsi"/>
        <w:b/>
      </w:rPr>
      <w:tblPr/>
      <w:trPr>
        <w:cantSplit/>
        <w:tblHeader/>
      </w:trPr>
      <w:tcPr>
        <w:tcBorders>
          <w:top w:val="single" w:sz="8" w:space="0" w:color="auto"/>
          <w:left w:val="nil"/>
          <w:bottom w:val="single" w:sz="6" w:space="0" w:color="auto"/>
          <w:right w:val="nil"/>
          <w:insideH w:val="nil"/>
          <w:insideV w:val="nil"/>
          <w:tl2br w:val="nil"/>
          <w:tr2bl w:val="nil"/>
        </w:tcBorders>
        <w:shd w:val="clear" w:color="auto" w:fill="auto"/>
        <w:vAlign w:val="top"/>
      </w:tcPr>
    </w:tblStylePr>
    <w:tblStylePr w:type="lastRow">
      <w:rPr>
        <w:rFonts w:asciiTheme="majorHAnsi" w:hAnsiTheme="majorHAnsi"/>
        <w:b/>
      </w:rPr>
      <w:tblPr/>
      <w:tcPr>
        <w:tcBorders>
          <w:top w:val="single" w:sz="2" w:space="0" w:color="auto"/>
          <w:left w:val="nil"/>
          <w:bottom w:val="single" w:sz="8" w:space="0" w:color="auto"/>
          <w:right w:val="nil"/>
          <w:insideH w:val="nil"/>
          <w:insideV w:val="nil"/>
          <w:tl2br w:val="nil"/>
          <w:tr2bl w:val="nil"/>
        </w:tcBorders>
      </w:tcPr>
    </w:tblStylePr>
    <w:tblStylePr w:type="firstCol">
      <w:pPr>
        <w:wordWrap/>
        <w:spacing w:line="240" w:lineRule="auto"/>
        <w:ind w:leftChars="0" w:left="288" w:firstLineChars="0" w:hanging="288"/>
        <w:jc w:val="left"/>
      </w:pPr>
      <w:rPr>
        <w:rFonts w:asciiTheme="majorHAnsi" w:hAnsiTheme="majorHAnsi"/>
        <w:b/>
      </w:rPr>
      <w:tblPr/>
      <w:tcPr>
        <w:shd w:val="clear" w:color="auto" w:fill="auto"/>
      </w:tcPr>
    </w:tblStylePr>
    <w:tblStylePr w:type="band2Horz">
      <w:tblPr/>
      <w:tcPr>
        <w:tcBorders>
          <w:top w:val="single" w:sz="2" w:space="0" w:color="auto"/>
          <w:left w:val="nil"/>
          <w:bottom w:val="single" w:sz="2" w:space="0" w:color="auto"/>
          <w:right w:val="nil"/>
          <w:insideH w:val="nil"/>
          <w:insideV w:val="nil"/>
          <w:tl2br w:val="nil"/>
          <w:tr2bl w:val="nil"/>
        </w:tcBorders>
        <w:shd w:val="clear" w:color="auto" w:fill="auto"/>
      </w:tcPr>
    </w:tblStylePr>
  </w:style>
  <w:style w:type="numbering" w:customStyle="1" w:styleId="OTPSBulletedList">
    <w:name w:val="OTPS Bulleted List"/>
    <w:uiPriority w:val="11"/>
    <w:rsid w:val="00CA77EB"/>
    <w:pPr>
      <w:numPr>
        <w:numId w:val="17"/>
      </w:numPr>
    </w:pPr>
  </w:style>
  <w:style w:type="numbering" w:customStyle="1" w:styleId="OTPSNumberedList">
    <w:name w:val="OTPS Numbered List"/>
    <w:uiPriority w:val="12"/>
    <w:rsid w:val="00996844"/>
    <w:pPr>
      <w:numPr>
        <w:numId w:val="21"/>
      </w:numPr>
    </w:pPr>
  </w:style>
  <w:style w:type="character" w:styleId="PlaceholderText">
    <w:name w:val="Placeholder Text"/>
    <w:basedOn w:val="DefaultParagraphFont"/>
    <w:uiPriority w:val="99"/>
    <w:semiHidden/>
    <w:rsid w:val="009C3C64"/>
    <w:rPr>
      <w:color w:val="808080"/>
    </w:rPr>
  </w:style>
  <w:style w:type="paragraph" w:customStyle="1" w:styleId="exec-summary-tag">
    <w:name w:val="exec-summary-tag"/>
    <w:basedOn w:val="Normal"/>
    <w:uiPriority w:val="95"/>
    <w:semiHidden/>
    <w:qFormat/>
    <w:rsid w:val="00C70593"/>
    <w:pPr>
      <w:jc w:val="center"/>
    </w:pPr>
    <w:rPr>
      <w:i/>
      <w:iCs/>
    </w:rPr>
  </w:style>
  <w:style w:type="paragraph" w:customStyle="1" w:styleId="callout-right">
    <w:name w:val="callout-right"/>
    <w:basedOn w:val="Normal"/>
    <w:uiPriority w:val="15"/>
    <w:qFormat/>
    <w:rsid w:val="00900476"/>
    <w:pPr>
      <w:framePr w:w="2880" w:hSpace="144" w:vSpace="144" w:wrap="around" w:vAnchor="text" w:hAnchor="margin" w:xAlign="right" w:y="1"/>
      <w:pBdr>
        <w:top w:val="single" w:sz="48" w:space="1" w:color="E0E9F6"/>
        <w:left w:val="single" w:sz="48" w:space="4" w:color="E0E9F6"/>
        <w:right w:val="single" w:sz="48" w:space="4" w:color="E0E9F6"/>
      </w:pBdr>
      <w:shd w:val="clear" w:color="auto" w:fill="E0E9F6"/>
      <w:spacing w:before="0"/>
      <w:ind w:right="216"/>
    </w:pPr>
    <w:rPr>
      <w:sz w:val="20"/>
    </w:rPr>
  </w:style>
  <w:style w:type="paragraph" w:customStyle="1" w:styleId="callout-left">
    <w:name w:val="callout-left"/>
    <w:basedOn w:val="callout-right"/>
    <w:uiPriority w:val="15"/>
    <w:qFormat/>
    <w:rsid w:val="00900476"/>
    <w:pPr>
      <w:framePr w:wrap="around" w:xAlign="left"/>
      <w:ind w:left="216" w:right="0"/>
    </w:pPr>
  </w:style>
  <w:style w:type="paragraph" w:styleId="Bibliography">
    <w:name w:val="Bibliography"/>
    <w:basedOn w:val="Normal"/>
    <w:next w:val="Normal"/>
    <w:uiPriority w:val="37"/>
    <w:unhideWhenUsed/>
    <w:rsid w:val="003026D5"/>
  </w:style>
  <w:style w:type="paragraph" w:customStyle="1" w:styleId="CUIreason">
    <w:name w:val="CUI reason"/>
    <w:basedOn w:val="Normal"/>
    <w:uiPriority w:val="95"/>
    <w:semiHidden/>
    <w:qFormat/>
    <w:rsid w:val="00934306"/>
  </w:style>
  <w:style w:type="character" w:customStyle="1" w:styleId="Heading5Char">
    <w:name w:val="Heading 5 Char"/>
    <w:basedOn w:val="DefaultParagraphFont"/>
    <w:link w:val="Heading5"/>
    <w:uiPriority w:val="9"/>
    <w:rsid w:val="00DC7C55"/>
    <w:rPr>
      <w:rFonts w:asciiTheme="majorHAnsi" w:eastAsiaTheme="majorEastAsia" w:hAnsiTheme="majorHAnsi" w:cstheme="majorBidi"/>
      <w:color w:val="082D6C" w:themeColor="accent1" w:themeShade="BF"/>
      <w:sz w:val="23"/>
    </w:rPr>
  </w:style>
  <w:style w:type="paragraph" w:customStyle="1" w:styleId="Disclaimer">
    <w:name w:val="Disclaimer"/>
    <w:basedOn w:val="Normal"/>
    <w:autoRedefine/>
    <w:qFormat/>
    <w:rsid w:val="00230B89"/>
    <w:rPr>
      <w:i/>
      <w:sz w:val="18"/>
    </w:rPr>
  </w:style>
  <w:style w:type="character" w:styleId="FollowedHyperlink">
    <w:name w:val="FollowedHyperlink"/>
    <w:basedOn w:val="DefaultParagraphFont"/>
    <w:uiPriority w:val="99"/>
    <w:semiHidden/>
    <w:unhideWhenUsed/>
    <w:rsid w:val="009F7C69"/>
    <w:rPr>
      <w:color w:val="954F72" w:themeColor="followedHyperlink"/>
      <w:u w:val="single"/>
    </w:rPr>
  </w:style>
  <w:style w:type="paragraph" w:styleId="FootnoteText">
    <w:name w:val="footnote text"/>
    <w:basedOn w:val="Normal"/>
    <w:link w:val="FootnoteTextChar"/>
    <w:uiPriority w:val="99"/>
    <w:semiHidden/>
    <w:unhideWhenUsed/>
    <w:rsid w:val="00C5085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5085C"/>
    <w:rPr>
      <w:rFonts w:ascii="Helvetica Light" w:hAnsi="Helvetica Light"/>
      <w:sz w:val="20"/>
      <w:szCs w:val="20"/>
    </w:rPr>
  </w:style>
  <w:style w:type="character" w:styleId="FootnoteReference">
    <w:name w:val="footnote reference"/>
    <w:basedOn w:val="DefaultParagraphFont"/>
    <w:uiPriority w:val="99"/>
    <w:semiHidden/>
    <w:unhideWhenUsed/>
    <w:rsid w:val="00C5085C"/>
    <w:rPr>
      <w:vertAlign w:val="superscript"/>
    </w:rPr>
  </w:style>
  <w:style w:type="character" w:styleId="CommentReference">
    <w:name w:val="annotation reference"/>
    <w:basedOn w:val="DefaultParagraphFont"/>
    <w:uiPriority w:val="99"/>
    <w:semiHidden/>
    <w:unhideWhenUsed/>
    <w:rsid w:val="00D677F8"/>
    <w:rPr>
      <w:sz w:val="16"/>
      <w:szCs w:val="16"/>
    </w:rPr>
  </w:style>
  <w:style w:type="paragraph" w:styleId="CommentText">
    <w:name w:val="annotation text"/>
    <w:basedOn w:val="Normal"/>
    <w:link w:val="CommentTextChar"/>
    <w:uiPriority w:val="99"/>
    <w:unhideWhenUsed/>
    <w:rsid w:val="00D677F8"/>
    <w:pPr>
      <w:spacing w:line="240" w:lineRule="auto"/>
    </w:pPr>
    <w:rPr>
      <w:sz w:val="20"/>
      <w:szCs w:val="20"/>
    </w:rPr>
  </w:style>
  <w:style w:type="character" w:customStyle="1" w:styleId="CommentTextChar">
    <w:name w:val="Comment Text Char"/>
    <w:basedOn w:val="DefaultParagraphFont"/>
    <w:link w:val="CommentText"/>
    <w:uiPriority w:val="99"/>
    <w:rsid w:val="00D677F8"/>
    <w:rPr>
      <w:rFonts w:ascii="Helvetica Light" w:hAnsi="Helvetica Light"/>
      <w:sz w:val="20"/>
      <w:szCs w:val="20"/>
    </w:rPr>
  </w:style>
  <w:style w:type="paragraph" w:styleId="CommentSubject">
    <w:name w:val="annotation subject"/>
    <w:basedOn w:val="CommentText"/>
    <w:next w:val="CommentText"/>
    <w:link w:val="CommentSubjectChar"/>
    <w:uiPriority w:val="99"/>
    <w:semiHidden/>
    <w:unhideWhenUsed/>
    <w:rsid w:val="00D677F8"/>
    <w:rPr>
      <w:b/>
      <w:bCs/>
    </w:rPr>
  </w:style>
  <w:style w:type="character" w:customStyle="1" w:styleId="CommentSubjectChar">
    <w:name w:val="Comment Subject Char"/>
    <w:basedOn w:val="CommentTextChar"/>
    <w:link w:val="CommentSubject"/>
    <w:uiPriority w:val="99"/>
    <w:semiHidden/>
    <w:rsid w:val="00D677F8"/>
    <w:rPr>
      <w:rFonts w:ascii="Helvetica Light" w:hAnsi="Helvetica Light"/>
      <w:b/>
      <w:bCs/>
      <w:sz w:val="20"/>
      <w:szCs w:val="20"/>
    </w:rPr>
  </w:style>
  <w:style w:type="table" w:styleId="TableGrid">
    <w:name w:val="Table Grid"/>
    <w:basedOn w:val="TableNormal"/>
    <w:uiPriority w:val="39"/>
    <w:rsid w:val="00712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85840"/>
    <w:pPr>
      <w:spacing w:before="0" w:after="0" w:line="360" w:lineRule="auto"/>
      <w:contextualSpacing/>
      <w:jc w:val="center"/>
    </w:pPr>
    <w:rPr>
      <w:rFonts w:ascii="Calibri" w:hAnsi="Calibri" w:cs="Calibri"/>
      <w:b/>
      <w:bCs/>
      <w:sz w:val="40"/>
      <w:szCs w:val="40"/>
    </w:rPr>
  </w:style>
  <w:style w:type="character" w:customStyle="1" w:styleId="TitleChar">
    <w:name w:val="Title Char"/>
    <w:basedOn w:val="DefaultParagraphFont"/>
    <w:link w:val="Title"/>
    <w:uiPriority w:val="10"/>
    <w:rsid w:val="00285840"/>
    <w:rPr>
      <w:rFonts w:ascii="Calibri" w:hAnsi="Calibri" w:cs="Calibri"/>
      <w:b/>
      <w:bCs/>
      <w:sz w:val="40"/>
      <w:szCs w:val="40"/>
    </w:rPr>
  </w:style>
  <w:style w:type="character" w:styleId="Strong">
    <w:name w:val="Strong"/>
    <w:basedOn w:val="DefaultParagraphFont"/>
    <w:uiPriority w:val="22"/>
    <w:qFormat/>
    <w:rsid w:val="00285840"/>
    <w:rPr>
      <w:sz w:val="24"/>
      <w:szCs w:val="24"/>
    </w:rPr>
  </w:style>
  <w:style w:type="table" w:styleId="PlainTable3">
    <w:name w:val="Plain Table 3"/>
    <w:basedOn w:val="TableNormal"/>
    <w:uiPriority w:val="99"/>
    <w:rsid w:val="000549C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0549C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F738D7"/>
    <w:rPr>
      <w:color w:val="2B579A"/>
      <w:shd w:val="clear" w:color="auto" w:fill="E1DFDD"/>
    </w:rPr>
  </w:style>
  <w:style w:type="paragraph" w:styleId="Revision">
    <w:name w:val="Revision"/>
    <w:hidden/>
    <w:uiPriority w:val="99"/>
    <w:semiHidden/>
    <w:rsid w:val="00976BE4"/>
    <w:rPr>
      <w:rFonts w:ascii="Helvetica Light" w:hAnsi="Helvetica Light"/>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180">
      <w:bodyDiv w:val="1"/>
      <w:marLeft w:val="0"/>
      <w:marRight w:val="0"/>
      <w:marTop w:val="0"/>
      <w:marBottom w:val="0"/>
      <w:divBdr>
        <w:top w:val="none" w:sz="0" w:space="0" w:color="auto"/>
        <w:left w:val="none" w:sz="0" w:space="0" w:color="auto"/>
        <w:bottom w:val="none" w:sz="0" w:space="0" w:color="auto"/>
        <w:right w:val="none" w:sz="0" w:space="0" w:color="auto"/>
      </w:divBdr>
    </w:div>
    <w:div w:id="6488446">
      <w:bodyDiv w:val="1"/>
      <w:marLeft w:val="0"/>
      <w:marRight w:val="0"/>
      <w:marTop w:val="0"/>
      <w:marBottom w:val="0"/>
      <w:divBdr>
        <w:top w:val="none" w:sz="0" w:space="0" w:color="auto"/>
        <w:left w:val="none" w:sz="0" w:space="0" w:color="auto"/>
        <w:bottom w:val="none" w:sz="0" w:space="0" w:color="auto"/>
        <w:right w:val="none" w:sz="0" w:space="0" w:color="auto"/>
      </w:divBdr>
    </w:div>
    <w:div w:id="11955526">
      <w:bodyDiv w:val="1"/>
      <w:marLeft w:val="0"/>
      <w:marRight w:val="0"/>
      <w:marTop w:val="0"/>
      <w:marBottom w:val="0"/>
      <w:divBdr>
        <w:top w:val="none" w:sz="0" w:space="0" w:color="auto"/>
        <w:left w:val="none" w:sz="0" w:space="0" w:color="auto"/>
        <w:bottom w:val="none" w:sz="0" w:space="0" w:color="auto"/>
        <w:right w:val="none" w:sz="0" w:space="0" w:color="auto"/>
      </w:divBdr>
    </w:div>
    <w:div w:id="15931329">
      <w:bodyDiv w:val="1"/>
      <w:marLeft w:val="0"/>
      <w:marRight w:val="0"/>
      <w:marTop w:val="0"/>
      <w:marBottom w:val="0"/>
      <w:divBdr>
        <w:top w:val="none" w:sz="0" w:space="0" w:color="auto"/>
        <w:left w:val="none" w:sz="0" w:space="0" w:color="auto"/>
        <w:bottom w:val="none" w:sz="0" w:space="0" w:color="auto"/>
        <w:right w:val="none" w:sz="0" w:space="0" w:color="auto"/>
      </w:divBdr>
    </w:div>
    <w:div w:id="16543636">
      <w:bodyDiv w:val="1"/>
      <w:marLeft w:val="0"/>
      <w:marRight w:val="0"/>
      <w:marTop w:val="0"/>
      <w:marBottom w:val="0"/>
      <w:divBdr>
        <w:top w:val="none" w:sz="0" w:space="0" w:color="auto"/>
        <w:left w:val="none" w:sz="0" w:space="0" w:color="auto"/>
        <w:bottom w:val="none" w:sz="0" w:space="0" w:color="auto"/>
        <w:right w:val="none" w:sz="0" w:space="0" w:color="auto"/>
      </w:divBdr>
    </w:div>
    <w:div w:id="17971527">
      <w:bodyDiv w:val="1"/>
      <w:marLeft w:val="0"/>
      <w:marRight w:val="0"/>
      <w:marTop w:val="0"/>
      <w:marBottom w:val="0"/>
      <w:divBdr>
        <w:top w:val="none" w:sz="0" w:space="0" w:color="auto"/>
        <w:left w:val="none" w:sz="0" w:space="0" w:color="auto"/>
        <w:bottom w:val="none" w:sz="0" w:space="0" w:color="auto"/>
        <w:right w:val="none" w:sz="0" w:space="0" w:color="auto"/>
      </w:divBdr>
    </w:div>
    <w:div w:id="19473673">
      <w:bodyDiv w:val="1"/>
      <w:marLeft w:val="0"/>
      <w:marRight w:val="0"/>
      <w:marTop w:val="0"/>
      <w:marBottom w:val="0"/>
      <w:divBdr>
        <w:top w:val="none" w:sz="0" w:space="0" w:color="auto"/>
        <w:left w:val="none" w:sz="0" w:space="0" w:color="auto"/>
        <w:bottom w:val="none" w:sz="0" w:space="0" w:color="auto"/>
        <w:right w:val="none" w:sz="0" w:space="0" w:color="auto"/>
      </w:divBdr>
    </w:div>
    <w:div w:id="21758037">
      <w:bodyDiv w:val="1"/>
      <w:marLeft w:val="0"/>
      <w:marRight w:val="0"/>
      <w:marTop w:val="0"/>
      <w:marBottom w:val="0"/>
      <w:divBdr>
        <w:top w:val="none" w:sz="0" w:space="0" w:color="auto"/>
        <w:left w:val="none" w:sz="0" w:space="0" w:color="auto"/>
        <w:bottom w:val="none" w:sz="0" w:space="0" w:color="auto"/>
        <w:right w:val="none" w:sz="0" w:space="0" w:color="auto"/>
      </w:divBdr>
    </w:div>
    <w:div w:id="25257035">
      <w:bodyDiv w:val="1"/>
      <w:marLeft w:val="0"/>
      <w:marRight w:val="0"/>
      <w:marTop w:val="0"/>
      <w:marBottom w:val="0"/>
      <w:divBdr>
        <w:top w:val="none" w:sz="0" w:space="0" w:color="auto"/>
        <w:left w:val="none" w:sz="0" w:space="0" w:color="auto"/>
        <w:bottom w:val="none" w:sz="0" w:space="0" w:color="auto"/>
        <w:right w:val="none" w:sz="0" w:space="0" w:color="auto"/>
      </w:divBdr>
    </w:div>
    <w:div w:id="26219930">
      <w:bodyDiv w:val="1"/>
      <w:marLeft w:val="0"/>
      <w:marRight w:val="0"/>
      <w:marTop w:val="0"/>
      <w:marBottom w:val="0"/>
      <w:divBdr>
        <w:top w:val="none" w:sz="0" w:space="0" w:color="auto"/>
        <w:left w:val="none" w:sz="0" w:space="0" w:color="auto"/>
        <w:bottom w:val="none" w:sz="0" w:space="0" w:color="auto"/>
        <w:right w:val="none" w:sz="0" w:space="0" w:color="auto"/>
      </w:divBdr>
    </w:div>
    <w:div w:id="35855053">
      <w:bodyDiv w:val="1"/>
      <w:marLeft w:val="0"/>
      <w:marRight w:val="0"/>
      <w:marTop w:val="0"/>
      <w:marBottom w:val="0"/>
      <w:divBdr>
        <w:top w:val="none" w:sz="0" w:space="0" w:color="auto"/>
        <w:left w:val="none" w:sz="0" w:space="0" w:color="auto"/>
        <w:bottom w:val="none" w:sz="0" w:space="0" w:color="auto"/>
        <w:right w:val="none" w:sz="0" w:space="0" w:color="auto"/>
      </w:divBdr>
    </w:div>
    <w:div w:id="37052995">
      <w:bodyDiv w:val="1"/>
      <w:marLeft w:val="0"/>
      <w:marRight w:val="0"/>
      <w:marTop w:val="0"/>
      <w:marBottom w:val="0"/>
      <w:divBdr>
        <w:top w:val="none" w:sz="0" w:space="0" w:color="auto"/>
        <w:left w:val="none" w:sz="0" w:space="0" w:color="auto"/>
        <w:bottom w:val="none" w:sz="0" w:space="0" w:color="auto"/>
        <w:right w:val="none" w:sz="0" w:space="0" w:color="auto"/>
      </w:divBdr>
    </w:div>
    <w:div w:id="42026094">
      <w:bodyDiv w:val="1"/>
      <w:marLeft w:val="0"/>
      <w:marRight w:val="0"/>
      <w:marTop w:val="0"/>
      <w:marBottom w:val="0"/>
      <w:divBdr>
        <w:top w:val="none" w:sz="0" w:space="0" w:color="auto"/>
        <w:left w:val="none" w:sz="0" w:space="0" w:color="auto"/>
        <w:bottom w:val="none" w:sz="0" w:space="0" w:color="auto"/>
        <w:right w:val="none" w:sz="0" w:space="0" w:color="auto"/>
      </w:divBdr>
    </w:div>
    <w:div w:id="47461418">
      <w:bodyDiv w:val="1"/>
      <w:marLeft w:val="0"/>
      <w:marRight w:val="0"/>
      <w:marTop w:val="0"/>
      <w:marBottom w:val="0"/>
      <w:divBdr>
        <w:top w:val="none" w:sz="0" w:space="0" w:color="auto"/>
        <w:left w:val="none" w:sz="0" w:space="0" w:color="auto"/>
        <w:bottom w:val="none" w:sz="0" w:space="0" w:color="auto"/>
        <w:right w:val="none" w:sz="0" w:space="0" w:color="auto"/>
      </w:divBdr>
    </w:div>
    <w:div w:id="56439456">
      <w:bodyDiv w:val="1"/>
      <w:marLeft w:val="0"/>
      <w:marRight w:val="0"/>
      <w:marTop w:val="0"/>
      <w:marBottom w:val="0"/>
      <w:divBdr>
        <w:top w:val="none" w:sz="0" w:space="0" w:color="auto"/>
        <w:left w:val="none" w:sz="0" w:space="0" w:color="auto"/>
        <w:bottom w:val="none" w:sz="0" w:space="0" w:color="auto"/>
        <w:right w:val="none" w:sz="0" w:space="0" w:color="auto"/>
      </w:divBdr>
    </w:div>
    <w:div w:id="56822679">
      <w:bodyDiv w:val="1"/>
      <w:marLeft w:val="0"/>
      <w:marRight w:val="0"/>
      <w:marTop w:val="0"/>
      <w:marBottom w:val="0"/>
      <w:divBdr>
        <w:top w:val="none" w:sz="0" w:space="0" w:color="auto"/>
        <w:left w:val="none" w:sz="0" w:space="0" w:color="auto"/>
        <w:bottom w:val="none" w:sz="0" w:space="0" w:color="auto"/>
        <w:right w:val="none" w:sz="0" w:space="0" w:color="auto"/>
      </w:divBdr>
    </w:div>
    <w:div w:id="69935683">
      <w:bodyDiv w:val="1"/>
      <w:marLeft w:val="0"/>
      <w:marRight w:val="0"/>
      <w:marTop w:val="0"/>
      <w:marBottom w:val="0"/>
      <w:divBdr>
        <w:top w:val="none" w:sz="0" w:space="0" w:color="auto"/>
        <w:left w:val="none" w:sz="0" w:space="0" w:color="auto"/>
        <w:bottom w:val="none" w:sz="0" w:space="0" w:color="auto"/>
        <w:right w:val="none" w:sz="0" w:space="0" w:color="auto"/>
      </w:divBdr>
    </w:div>
    <w:div w:id="75053167">
      <w:bodyDiv w:val="1"/>
      <w:marLeft w:val="0"/>
      <w:marRight w:val="0"/>
      <w:marTop w:val="0"/>
      <w:marBottom w:val="0"/>
      <w:divBdr>
        <w:top w:val="none" w:sz="0" w:space="0" w:color="auto"/>
        <w:left w:val="none" w:sz="0" w:space="0" w:color="auto"/>
        <w:bottom w:val="none" w:sz="0" w:space="0" w:color="auto"/>
        <w:right w:val="none" w:sz="0" w:space="0" w:color="auto"/>
      </w:divBdr>
    </w:div>
    <w:div w:id="79449218">
      <w:bodyDiv w:val="1"/>
      <w:marLeft w:val="0"/>
      <w:marRight w:val="0"/>
      <w:marTop w:val="0"/>
      <w:marBottom w:val="0"/>
      <w:divBdr>
        <w:top w:val="none" w:sz="0" w:space="0" w:color="auto"/>
        <w:left w:val="none" w:sz="0" w:space="0" w:color="auto"/>
        <w:bottom w:val="none" w:sz="0" w:space="0" w:color="auto"/>
        <w:right w:val="none" w:sz="0" w:space="0" w:color="auto"/>
      </w:divBdr>
    </w:div>
    <w:div w:id="79572756">
      <w:bodyDiv w:val="1"/>
      <w:marLeft w:val="0"/>
      <w:marRight w:val="0"/>
      <w:marTop w:val="0"/>
      <w:marBottom w:val="0"/>
      <w:divBdr>
        <w:top w:val="none" w:sz="0" w:space="0" w:color="auto"/>
        <w:left w:val="none" w:sz="0" w:space="0" w:color="auto"/>
        <w:bottom w:val="none" w:sz="0" w:space="0" w:color="auto"/>
        <w:right w:val="none" w:sz="0" w:space="0" w:color="auto"/>
      </w:divBdr>
    </w:div>
    <w:div w:id="82187724">
      <w:bodyDiv w:val="1"/>
      <w:marLeft w:val="0"/>
      <w:marRight w:val="0"/>
      <w:marTop w:val="0"/>
      <w:marBottom w:val="0"/>
      <w:divBdr>
        <w:top w:val="none" w:sz="0" w:space="0" w:color="auto"/>
        <w:left w:val="none" w:sz="0" w:space="0" w:color="auto"/>
        <w:bottom w:val="none" w:sz="0" w:space="0" w:color="auto"/>
        <w:right w:val="none" w:sz="0" w:space="0" w:color="auto"/>
      </w:divBdr>
    </w:div>
    <w:div w:id="83112675">
      <w:bodyDiv w:val="1"/>
      <w:marLeft w:val="0"/>
      <w:marRight w:val="0"/>
      <w:marTop w:val="0"/>
      <w:marBottom w:val="0"/>
      <w:divBdr>
        <w:top w:val="none" w:sz="0" w:space="0" w:color="auto"/>
        <w:left w:val="none" w:sz="0" w:space="0" w:color="auto"/>
        <w:bottom w:val="none" w:sz="0" w:space="0" w:color="auto"/>
        <w:right w:val="none" w:sz="0" w:space="0" w:color="auto"/>
      </w:divBdr>
    </w:div>
    <w:div w:id="91978560">
      <w:bodyDiv w:val="1"/>
      <w:marLeft w:val="0"/>
      <w:marRight w:val="0"/>
      <w:marTop w:val="0"/>
      <w:marBottom w:val="0"/>
      <w:divBdr>
        <w:top w:val="none" w:sz="0" w:space="0" w:color="auto"/>
        <w:left w:val="none" w:sz="0" w:space="0" w:color="auto"/>
        <w:bottom w:val="none" w:sz="0" w:space="0" w:color="auto"/>
        <w:right w:val="none" w:sz="0" w:space="0" w:color="auto"/>
      </w:divBdr>
    </w:div>
    <w:div w:id="92938648">
      <w:bodyDiv w:val="1"/>
      <w:marLeft w:val="0"/>
      <w:marRight w:val="0"/>
      <w:marTop w:val="0"/>
      <w:marBottom w:val="0"/>
      <w:divBdr>
        <w:top w:val="none" w:sz="0" w:space="0" w:color="auto"/>
        <w:left w:val="none" w:sz="0" w:space="0" w:color="auto"/>
        <w:bottom w:val="none" w:sz="0" w:space="0" w:color="auto"/>
        <w:right w:val="none" w:sz="0" w:space="0" w:color="auto"/>
      </w:divBdr>
    </w:div>
    <w:div w:id="99035706">
      <w:bodyDiv w:val="1"/>
      <w:marLeft w:val="0"/>
      <w:marRight w:val="0"/>
      <w:marTop w:val="0"/>
      <w:marBottom w:val="0"/>
      <w:divBdr>
        <w:top w:val="none" w:sz="0" w:space="0" w:color="auto"/>
        <w:left w:val="none" w:sz="0" w:space="0" w:color="auto"/>
        <w:bottom w:val="none" w:sz="0" w:space="0" w:color="auto"/>
        <w:right w:val="none" w:sz="0" w:space="0" w:color="auto"/>
      </w:divBdr>
    </w:div>
    <w:div w:id="99573076">
      <w:bodyDiv w:val="1"/>
      <w:marLeft w:val="0"/>
      <w:marRight w:val="0"/>
      <w:marTop w:val="0"/>
      <w:marBottom w:val="0"/>
      <w:divBdr>
        <w:top w:val="none" w:sz="0" w:space="0" w:color="auto"/>
        <w:left w:val="none" w:sz="0" w:space="0" w:color="auto"/>
        <w:bottom w:val="none" w:sz="0" w:space="0" w:color="auto"/>
        <w:right w:val="none" w:sz="0" w:space="0" w:color="auto"/>
      </w:divBdr>
    </w:div>
    <w:div w:id="105004460">
      <w:bodyDiv w:val="1"/>
      <w:marLeft w:val="0"/>
      <w:marRight w:val="0"/>
      <w:marTop w:val="0"/>
      <w:marBottom w:val="0"/>
      <w:divBdr>
        <w:top w:val="none" w:sz="0" w:space="0" w:color="auto"/>
        <w:left w:val="none" w:sz="0" w:space="0" w:color="auto"/>
        <w:bottom w:val="none" w:sz="0" w:space="0" w:color="auto"/>
        <w:right w:val="none" w:sz="0" w:space="0" w:color="auto"/>
      </w:divBdr>
    </w:div>
    <w:div w:id="116338436">
      <w:bodyDiv w:val="1"/>
      <w:marLeft w:val="0"/>
      <w:marRight w:val="0"/>
      <w:marTop w:val="0"/>
      <w:marBottom w:val="0"/>
      <w:divBdr>
        <w:top w:val="none" w:sz="0" w:space="0" w:color="auto"/>
        <w:left w:val="none" w:sz="0" w:space="0" w:color="auto"/>
        <w:bottom w:val="none" w:sz="0" w:space="0" w:color="auto"/>
        <w:right w:val="none" w:sz="0" w:space="0" w:color="auto"/>
      </w:divBdr>
    </w:div>
    <w:div w:id="120272420">
      <w:bodyDiv w:val="1"/>
      <w:marLeft w:val="0"/>
      <w:marRight w:val="0"/>
      <w:marTop w:val="0"/>
      <w:marBottom w:val="0"/>
      <w:divBdr>
        <w:top w:val="none" w:sz="0" w:space="0" w:color="auto"/>
        <w:left w:val="none" w:sz="0" w:space="0" w:color="auto"/>
        <w:bottom w:val="none" w:sz="0" w:space="0" w:color="auto"/>
        <w:right w:val="none" w:sz="0" w:space="0" w:color="auto"/>
      </w:divBdr>
    </w:div>
    <w:div w:id="130906007">
      <w:bodyDiv w:val="1"/>
      <w:marLeft w:val="0"/>
      <w:marRight w:val="0"/>
      <w:marTop w:val="0"/>
      <w:marBottom w:val="0"/>
      <w:divBdr>
        <w:top w:val="none" w:sz="0" w:space="0" w:color="auto"/>
        <w:left w:val="none" w:sz="0" w:space="0" w:color="auto"/>
        <w:bottom w:val="none" w:sz="0" w:space="0" w:color="auto"/>
        <w:right w:val="none" w:sz="0" w:space="0" w:color="auto"/>
      </w:divBdr>
    </w:div>
    <w:div w:id="133454596">
      <w:bodyDiv w:val="1"/>
      <w:marLeft w:val="0"/>
      <w:marRight w:val="0"/>
      <w:marTop w:val="0"/>
      <w:marBottom w:val="0"/>
      <w:divBdr>
        <w:top w:val="none" w:sz="0" w:space="0" w:color="auto"/>
        <w:left w:val="none" w:sz="0" w:space="0" w:color="auto"/>
        <w:bottom w:val="none" w:sz="0" w:space="0" w:color="auto"/>
        <w:right w:val="none" w:sz="0" w:space="0" w:color="auto"/>
      </w:divBdr>
    </w:div>
    <w:div w:id="142357351">
      <w:bodyDiv w:val="1"/>
      <w:marLeft w:val="0"/>
      <w:marRight w:val="0"/>
      <w:marTop w:val="0"/>
      <w:marBottom w:val="0"/>
      <w:divBdr>
        <w:top w:val="none" w:sz="0" w:space="0" w:color="auto"/>
        <w:left w:val="none" w:sz="0" w:space="0" w:color="auto"/>
        <w:bottom w:val="none" w:sz="0" w:space="0" w:color="auto"/>
        <w:right w:val="none" w:sz="0" w:space="0" w:color="auto"/>
      </w:divBdr>
    </w:div>
    <w:div w:id="146673784">
      <w:bodyDiv w:val="1"/>
      <w:marLeft w:val="0"/>
      <w:marRight w:val="0"/>
      <w:marTop w:val="0"/>
      <w:marBottom w:val="0"/>
      <w:divBdr>
        <w:top w:val="none" w:sz="0" w:space="0" w:color="auto"/>
        <w:left w:val="none" w:sz="0" w:space="0" w:color="auto"/>
        <w:bottom w:val="none" w:sz="0" w:space="0" w:color="auto"/>
        <w:right w:val="none" w:sz="0" w:space="0" w:color="auto"/>
      </w:divBdr>
    </w:div>
    <w:div w:id="172501034">
      <w:bodyDiv w:val="1"/>
      <w:marLeft w:val="0"/>
      <w:marRight w:val="0"/>
      <w:marTop w:val="0"/>
      <w:marBottom w:val="0"/>
      <w:divBdr>
        <w:top w:val="none" w:sz="0" w:space="0" w:color="auto"/>
        <w:left w:val="none" w:sz="0" w:space="0" w:color="auto"/>
        <w:bottom w:val="none" w:sz="0" w:space="0" w:color="auto"/>
        <w:right w:val="none" w:sz="0" w:space="0" w:color="auto"/>
      </w:divBdr>
    </w:div>
    <w:div w:id="173151151">
      <w:bodyDiv w:val="1"/>
      <w:marLeft w:val="0"/>
      <w:marRight w:val="0"/>
      <w:marTop w:val="0"/>
      <w:marBottom w:val="0"/>
      <w:divBdr>
        <w:top w:val="none" w:sz="0" w:space="0" w:color="auto"/>
        <w:left w:val="none" w:sz="0" w:space="0" w:color="auto"/>
        <w:bottom w:val="none" w:sz="0" w:space="0" w:color="auto"/>
        <w:right w:val="none" w:sz="0" w:space="0" w:color="auto"/>
      </w:divBdr>
      <w:divsChild>
        <w:div w:id="1033846071">
          <w:marLeft w:val="0"/>
          <w:marRight w:val="0"/>
          <w:marTop w:val="0"/>
          <w:marBottom w:val="0"/>
          <w:divBdr>
            <w:top w:val="none" w:sz="0" w:space="0" w:color="auto"/>
            <w:left w:val="none" w:sz="0" w:space="0" w:color="auto"/>
            <w:bottom w:val="none" w:sz="0" w:space="0" w:color="auto"/>
            <w:right w:val="none" w:sz="0" w:space="0" w:color="auto"/>
          </w:divBdr>
          <w:divsChild>
            <w:div w:id="989792882">
              <w:marLeft w:val="0"/>
              <w:marRight w:val="0"/>
              <w:marTop w:val="0"/>
              <w:marBottom w:val="0"/>
              <w:divBdr>
                <w:top w:val="none" w:sz="0" w:space="0" w:color="auto"/>
                <w:left w:val="none" w:sz="0" w:space="0" w:color="auto"/>
                <w:bottom w:val="none" w:sz="0" w:space="0" w:color="auto"/>
                <w:right w:val="none" w:sz="0" w:space="0" w:color="auto"/>
              </w:divBdr>
              <w:divsChild>
                <w:div w:id="167451064">
                  <w:marLeft w:val="0"/>
                  <w:marRight w:val="0"/>
                  <w:marTop w:val="0"/>
                  <w:marBottom w:val="0"/>
                  <w:divBdr>
                    <w:top w:val="none" w:sz="0" w:space="0" w:color="auto"/>
                    <w:left w:val="none" w:sz="0" w:space="0" w:color="auto"/>
                    <w:bottom w:val="none" w:sz="0" w:space="0" w:color="auto"/>
                    <w:right w:val="none" w:sz="0" w:space="0" w:color="auto"/>
                  </w:divBdr>
                  <w:divsChild>
                    <w:div w:id="13551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5690">
      <w:bodyDiv w:val="1"/>
      <w:marLeft w:val="0"/>
      <w:marRight w:val="0"/>
      <w:marTop w:val="0"/>
      <w:marBottom w:val="0"/>
      <w:divBdr>
        <w:top w:val="none" w:sz="0" w:space="0" w:color="auto"/>
        <w:left w:val="none" w:sz="0" w:space="0" w:color="auto"/>
        <w:bottom w:val="none" w:sz="0" w:space="0" w:color="auto"/>
        <w:right w:val="none" w:sz="0" w:space="0" w:color="auto"/>
      </w:divBdr>
    </w:div>
    <w:div w:id="182863794">
      <w:bodyDiv w:val="1"/>
      <w:marLeft w:val="0"/>
      <w:marRight w:val="0"/>
      <w:marTop w:val="0"/>
      <w:marBottom w:val="0"/>
      <w:divBdr>
        <w:top w:val="none" w:sz="0" w:space="0" w:color="auto"/>
        <w:left w:val="none" w:sz="0" w:space="0" w:color="auto"/>
        <w:bottom w:val="none" w:sz="0" w:space="0" w:color="auto"/>
        <w:right w:val="none" w:sz="0" w:space="0" w:color="auto"/>
      </w:divBdr>
    </w:div>
    <w:div w:id="183717304">
      <w:bodyDiv w:val="1"/>
      <w:marLeft w:val="0"/>
      <w:marRight w:val="0"/>
      <w:marTop w:val="0"/>
      <w:marBottom w:val="0"/>
      <w:divBdr>
        <w:top w:val="none" w:sz="0" w:space="0" w:color="auto"/>
        <w:left w:val="none" w:sz="0" w:space="0" w:color="auto"/>
        <w:bottom w:val="none" w:sz="0" w:space="0" w:color="auto"/>
        <w:right w:val="none" w:sz="0" w:space="0" w:color="auto"/>
      </w:divBdr>
    </w:div>
    <w:div w:id="193421342">
      <w:bodyDiv w:val="1"/>
      <w:marLeft w:val="0"/>
      <w:marRight w:val="0"/>
      <w:marTop w:val="0"/>
      <w:marBottom w:val="0"/>
      <w:divBdr>
        <w:top w:val="none" w:sz="0" w:space="0" w:color="auto"/>
        <w:left w:val="none" w:sz="0" w:space="0" w:color="auto"/>
        <w:bottom w:val="none" w:sz="0" w:space="0" w:color="auto"/>
        <w:right w:val="none" w:sz="0" w:space="0" w:color="auto"/>
      </w:divBdr>
    </w:div>
    <w:div w:id="193812795">
      <w:bodyDiv w:val="1"/>
      <w:marLeft w:val="0"/>
      <w:marRight w:val="0"/>
      <w:marTop w:val="0"/>
      <w:marBottom w:val="0"/>
      <w:divBdr>
        <w:top w:val="none" w:sz="0" w:space="0" w:color="auto"/>
        <w:left w:val="none" w:sz="0" w:space="0" w:color="auto"/>
        <w:bottom w:val="none" w:sz="0" w:space="0" w:color="auto"/>
        <w:right w:val="none" w:sz="0" w:space="0" w:color="auto"/>
      </w:divBdr>
    </w:div>
    <w:div w:id="194001575">
      <w:bodyDiv w:val="1"/>
      <w:marLeft w:val="0"/>
      <w:marRight w:val="0"/>
      <w:marTop w:val="0"/>
      <w:marBottom w:val="0"/>
      <w:divBdr>
        <w:top w:val="none" w:sz="0" w:space="0" w:color="auto"/>
        <w:left w:val="none" w:sz="0" w:space="0" w:color="auto"/>
        <w:bottom w:val="none" w:sz="0" w:space="0" w:color="auto"/>
        <w:right w:val="none" w:sz="0" w:space="0" w:color="auto"/>
      </w:divBdr>
    </w:div>
    <w:div w:id="200872184">
      <w:bodyDiv w:val="1"/>
      <w:marLeft w:val="0"/>
      <w:marRight w:val="0"/>
      <w:marTop w:val="0"/>
      <w:marBottom w:val="0"/>
      <w:divBdr>
        <w:top w:val="none" w:sz="0" w:space="0" w:color="auto"/>
        <w:left w:val="none" w:sz="0" w:space="0" w:color="auto"/>
        <w:bottom w:val="none" w:sz="0" w:space="0" w:color="auto"/>
        <w:right w:val="none" w:sz="0" w:space="0" w:color="auto"/>
      </w:divBdr>
    </w:div>
    <w:div w:id="204608378">
      <w:bodyDiv w:val="1"/>
      <w:marLeft w:val="0"/>
      <w:marRight w:val="0"/>
      <w:marTop w:val="0"/>
      <w:marBottom w:val="0"/>
      <w:divBdr>
        <w:top w:val="none" w:sz="0" w:space="0" w:color="auto"/>
        <w:left w:val="none" w:sz="0" w:space="0" w:color="auto"/>
        <w:bottom w:val="none" w:sz="0" w:space="0" w:color="auto"/>
        <w:right w:val="none" w:sz="0" w:space="0" w:color="auto"/>
      </w:divBdr>
    </w:div>
    <w:div w:id="206645291">
      <w:bodyDiv w:val="1"/>
      <w:marLeft w:val="0"/>
      <w:marRight w:val="0"/>
      <w:marTop w:val="0"/>
      <w:marBottom w:val="0"/>
      <w:divBdr>
        <w:top w:val="none" w:sz="0" w:space="0" w:color="auto"/>
        <w:left w:val="none" w:sz="0" w:space="0" w:color="auto"/>
        <w:bottom w:val="none" w:sz="0" w:space="0" w:color="auto"/>
        <w:right w:val="none" w:sz="0" w:space="0" w:color="auto"/>
      </w:divBdr>
    </w:div>
    <w:div w:id="217908650">
      <w:bodyDiv w:val="1"/>
      <w:marLeft w:val="0"/>
      <w:marRight w:val="0"/>
      <w:marTop w:val="0"/>
      <w:marBottom w:val="0"/>
      <w:divBdr>
        <w:top w:val="none" w:sz="0" w:space="0" w:color="auto"/>
        <w:left w:val="none" w:sz="0" w:space="0" w:color="auto"/>
        <w:bottom w:val="none" w:sz="0" w:space="0" w:color="auto"/>
        <w:right w:val="none" w:sz="0" w:space="0" w:color="auto"/>
      </w:divBdr>
    </w:div>
    <w:div w:id="219751790">
      <w:bodyDiv w:val="1"/>
      <w:marLeft w:val="0"/>
      <w:marRight w:val="0"/>
      <w:marTop w:val="0"/>
      <w:marBottom w:val="0"/>
      <w:divBdr>
        <w:top w:val="none" w:sz="0" w:space="0" w:color="auto"/>
        <w:left w:val="none" w:sz="0" w:space="0" w:color="auto"/>
        <w:bottom w:val="none" w:sz="0" w:space="0" w:color="auto"/>
        <w:right w:val="none" w:sz="0" w:space="0" w:color="auto"/>
      </w:divBdr>
    </w:div>
    <w:div w:id="228461004">
      <w:bodyDiv w:val="1"/>
      <w:marLeft w:val="0"/>
      <w:marRight w:val="0"/>
      <w:marTop w:val="0"/>
      <w:marBottom w:val="0"/>
      <w:divBdr>
        <w:top w:val="none" w:sz="0" w:space="0" w:color="auto"/>
        <w:left w:val="none" w:sz="0" w:space="0" w:color="auto"/>
        <w:bottom w:val="none" w:sz="0" w:space="0" w:color="auto"/>
        <w:right w:val="none" w:sz="0" w:space="0" w:color="auto"/>
      </w:divBdr>
    </w:div>
    <w:div w:id="232206336">
      <w:bodyDiv w:val="1"/>
      <w:marLeft w:val="0"/>
      <w:marRight w:val="0"/>
      <w:marTop w:val="0"/>
      <w:marBottom w:val="0"/>
      <w:divBdr>
        <w:top w:val="none" w:sz="0" w:space="0" w:color="auto"/>
        <w:left w:val="none" w:sz="0" w:space="0" w:color="auto"/>
        <w:bottom w:val="none" w:sz="0" w:space="0" w:color="auto"/>
        <w:right w:val="none" w:sz="0" w:space="0" w:color="auto"/>
      </w:divBdr>
    </w:div>
    <w:div w:id="240019384">
      <w:bodyDiv w:val="1"/>
      <w:marLeft w:val="0"/>
      <w:marRight w:val="0"/>
      <w:marTop w:val="0"/>
      <w:marBottom w:val="0"/>
      <w:divBdr>
        <w:top w:val="none" w:sz="0" w:space="0" w:color="auto"/>
        <w:left w:val="none" w:sz="0" w:space="0" w:color="auto"/>
        <w:bottom w:val="none" w:sz="0" w:space="0" w:color="auto"/>
        <w:right w:val="none" w:sz="0" w:space="0" w:color="auto"/>
      </w:divBdr>
    </w:div>
    <w:div w:id="249777772">
      <w:bodyDiv w:val="1"/>
      <w:marLeft w:val="0"/>
      <w:marRight w:val="0"/>
      <w:marTop w:val="0"/>
      <w:marBottom w:val="0"/>
      <w:divBdr>
        <w:top w:val="none" w:sz="0" w:space="0" w:color="auto"/>
        <w:left w:val="none" w:sz="0" w:space="0" w:color="auto"/>
        <w:bottom w:val="none" w:sz="0" w:space="0" w:color="auto"/>
        <w:right w:val="none" w:sz="0" w:space="0" w:color="auto"/>
      </w:divBdr>
    </w:div>
    <w:div w:id="265772544">
      <w:bodyDiv w:val="1"/>
      <w:marLeft w:val="0"/>
      <w:marRight w:val="0"/>
      <w:marTop w:val="0"/>
      <w:marBottom w:val="0"/>
      <w:divBdr>
        <w:top w:val="none" w:sz="0" w:space="0" w:color="auto"/>
        <w:left w:val="none" w:sz="0" w:space="0" w:color="auto"/>
        <w:bottom w:val="none" w:sz="0" w:space="0" w:color="auto"/>
        <w:right w:val="none" w:sz="0" w:space="0" w:color="auto"/>
      </w:divBdr>
    </w:div>
    <w:div w:id="270091769">
      <w:bodyDiv w:val="1"/>
      <w:marLeft w:val="0"/>
      <w:marRight w:val="0"/>
      <w:marTop w:val="0"/>
      <w:marBottom w:val="0"/>
      <w:divBdr>
        <w:top w:val="none" w:sz="0" w:space="0" w:color="auto"/>
        <w:left w:val="none" w:sz="0" w:space="0" w:color="auto"/>
        <w:bottom w:val="none" w:sz="0" w:space="0" w:color="auto"/>
        <w:right w:val="none" w:sz="0" w:space="0" w:color="auto"/>
      </w:divBdr>
    </w:div>
    <w:div w:id="282731535">
      <w:bodyDiv w:val="1"/>
      <w:marLeft w:val="0"/>
      <w:marRight w:val="0"/>
      <w:marTop w:val="0"/>
      <w:marBottom w:val="0"/>
      <w:divBdr>
        <w:top w:val="none" w:sz="0" w:space="0" w:color="auto"/>
        <w:left w:val="none" w:sz="0" w:space="0" w:color="auto"/>
        <w:bottom w:val="none" w:sz="0" w:space="0" w:color="auto"/>
        <w:right w:val="none" w:sz="0" w:space="0" w:color="auto"/>
      </w:divBdr>
    </w:div>
    <w:div w:id="295456171">
      <w:bodyDiv w:val="1"/>
      <w:marLeft w:val="0"/>
      <w:marRight w:val="0"/>
      <w:marTop w:val="0"/>
      <w:marBottom w:val="0"/>
      <w:divBdr>
        <w:top w:val="none" w:sz="0" w:space="0" w:color="auto"/>
        <w:left w:val="none" w:sz="0" w:space="0" w:color="auto"/>
        <w:bottom w:val="none" w:sz="0" w:space="0" w:color="auto"/>
        <w:right w:val="none" w:sz="0" w:space="0" w:color="auto"/>
      </w:divBdr>
    </w:div>
    <w:div w:id="299850766">
      <w:bodyDiv w:val="1"/>
      <w:marLeft w:val="0"/>
      <w:marRight w:val="0"/>
      <w:marTop w:val="0"/>
      <w:marBottom w:val="0"/>
      <w:divBdr>
        <w:top w:val="none" w:sz="0" w:space="0" w:color="auto"/>
        <w:left w:val="none" w:sz="0" w:space="0" w:color="auto"/>
        <w:bottom w:val="none" w:sz="0" w:space="0" w:color="auto"/>
        <w:right w:val="none" w:sz="0" w:space="0" w:color="auto"/>
      </w:divBdr>
    </w:div>
    <w:div w:id="312297158">
      <w:bodyDiv w:val="1"/>
      <w:marLeft w:val="0"/>
      <w:marRight w:val="0"/>
      <w:marTop w:val="0"/>
      <w:marBottom w:val="0"/>
      <w:divBdr>
        <w:top w:val="none" w:sz="0" w:space="0" w:color="auto"/>
        <w:left w:val="none" w:sz="0" w:space="0" w:color="auto"/>
        <w:bottom w:val="none" w:sz="0" w:space="0" w:color="auto"/>
        <w:right w:val="none" w:sz="0" w:space="0" w:color="auto"/>
      </w:divBdr>
    </w:div>
    <w:div w:id="313070404">
      <w:bodyDiv w:val="1"/>
      <w:marLeft w:val="0"/>
      <w:marRight w:val="0"/>
      <w:marTop w:val="0"/>
      <w:marBottom w:val="0"/>
      <w:divBdr>
        <w:top w:val="none" w:sz="0" w:space="0" w:color="auto"/>
        <w:left w:val="none" w:sz="0" w:space="0" w:color="auto"/>
        <w:bottom w:val="none" w:sz="0" w:space="0" w:color="auto"/>
        <w:right w:val="none" w:sz="0" w:space="0" w:color="auto"/>
      </w:divBdr>
    </w:div>
    <w:div w:id="316344484">
      <w:bodyDiv w:val="1"/>
      <w:marLeft w:val="0"/>
      <w:marRight w:val="0"/>
      <w:marTop w:val="0"/>
      <w:marBottom w:val="0"/>
      <w:divBdr>
        <w:top w:val="none" w:sz="0" w:space="0" w:color="auto"/>
        <w:left w:val="none" w:sz="0" w:space="0" w:color="auto"/>
        <w:bottom w:val="none" w:sz="0" w:space="0" w:color="auto"/>
        <w:right w:val="none" w:sz="0" w:space="0" w:color="auto"/>
      </w:divBdr>
    </w:div>
    <w:div w:id="327100209">
      <w:bodyDiv w:val="1"/>
      <w:marLeft w:val="0"/>
      <w:marRight w:val="0"/>
      <w:marTop w:val="0"/>
      <w:marBottom w:val="0"/>
      <w:divBdr>
        <w:top w:val="none" w:sz="0" w:space="0" w:color="auto"/>
        <w:left w:val="none" w:sz="0" w:space="0" w:color="auto"/>
        <w:bottom w:val="none" w:sz="0" w:space="0" w:color="auto"/>
        <w:right w:val="none" w:sz="0" w:space="0" w:color="auto"/>
      </w:divBdr>
    </w:div>
    <w:div w:id="333650287">
      <w:bodyDiv w:val="1"/>
      <w:marLeft w:val="0"/>
      <w:marRight w:val="0"/>
      <w:marTop w:val="0"/>
      <w:marBottom w:val="0"/>
      <w:divBdr>
        <w:top w:val="none" w:sz="0" w:space="0" w:color="auto"/>
        <w:left w:val="none" w:sz="0" w:space="0" w:color="auto"/>
        <w:bottom w:val="none" w:sz="0" w:space="0" w:color="auto"/>
        <w:right w:val="none" w:sz="0" w:space="0" w:color="auto"/>
      </w:divBdr>
    </w:div>
    <w:div w:id="338967413">
      <w:bodyDiv w:val="1"/>
      <w:marLeft w:val="0"/>
      <w:marRight w:val="0"/>
      <w:marTop w:val="0"/>
      <w:marBottom w:val="0"/>
      <w:divBdr>
        <w:top w:val="none" w:sz="0" w:space="0" w:color="auto"/>
        <w:left w:val="none" w:sz="0" w:space="0" w:color="auto"/>
        <w:bottom w:val="none" w:sz="0" w:space="0" w:color="auto"/>
        <w:right w:val="none" w:sz="0" w:space="0" w:color="auto"/>
      </w:divBdr>
    </w:div>
    <w:div w:id="345207749">
      <w:bodyDiv w:val="1"/>
      <w:marLeft w:val="0"/>
      <w:marRight w:val="0"/>
      <w:marTop w:val="0"/>
      <w:marBottom w:val="0"/>
      <w:divBdr>
        <w:top w:val="none" w:sz="0" w:space="0" w:color="auto"/>
        <w:left w:val="none" w:sz="0" w:space="0" w:color="auto"/>
        <w:bottom w:val="none" w:sz="0" w:space="0" w:color="auto"/>
        <w:right w:val="none" w:sz="0" w:space="0" w:color="auto"/>
      </w:divBdr>
    </w:div>
    <w:div w:id="345640584">
      <w:bodyDiv w:val="1"/>
      <w:marLeft w:val="0"/>
      <w:marRight w:val="0"/>
      <w:marTop w:val="0"/>
      <w:marBottom w:val="0"/>
      <w:divBdr>
        <w:top w:val="none" w:sz="0" w:space="0" w:color="auto"/>
        <w:left w:val="none" w:sz="0" w:space="0" w:color="auto"/>
        <w:bottom w:val="none" w:sz="0" w:space="0" w:color="auto"/>
        <w:right w:val="none" w:sz="0" w:space="0" w:color="auto"/>
      </w:divBdr>
    </w:div>
    <w:div w:id="347559422">
      <w:bodyDiv w:val="1"/>
      <w:marLeft w:val="0"/>
      <w:marRight w:val="0"/>
      <w:marTop w:val="0"/>
      <w:marBottom w:val="0"/>
      <w:divBdr>
        <w:top w:val="none" w:sz="0" w:space="0" w:color="auto"/>
        <w:left w:val="none" w:sz="0" w:space="0" w:color="auto"/>
        <w:bottom w:val="none" w:sz="0" w:space="0" w:color="auto"/>
        <w:right w:val="none" w:sz="0" w:space="0" w:color="auto"/>
      </w:divBdr>
    </w:div>
    <w:div w:id="348994549">
      <w:bodyDiv w:val="1"/>
      <w:marLeft w:val="0"/>
      <w:marRight w:val="0"/>
      <w:marTop w:val="0"/>
      <w:marBottom w:val="0"/>
      <w:divBdr>
        <w:top w:val="none" w:sz="0" w:space="0" w:color="auto"/>
        <w:left w:val="none" w:sz="0" w:space="0" w:color="auto"/>
        <w:bottom w:val="none" w:sz="0" w:space="0" w:color="auto"/>
        <w:right w:val="none" w:sz="0" w:space="0" w:color="auto"/>
      </w:divBdr>
    </w:div>
    <w:div w:id="362176452">
      <w:bodyDiv w:val="1"/>
      <w:marLeft w:val="0"/>
      <w:marRight w:val="0"/>
      <w:marTop w:val="0"/>
      <w:marBottom w:val="0"/>
      <w:divBdr>
        <w:top w:val="none" w:sz="0" w:space="0" w:color="auto"/>
        <w:left w:val="none" w:sz="0" w:space="0" w:color="auto"/>
        <w:bottom w:val="none" w:sz="0" w:space="0" w:color="auto"/>
        <w:right w:val="none" w:sz="0" w:space="0" w:color="auto"/>
      </w:divBdr>
    </w:div>
    <w:div w:id="364870234">
      <w:bodyDiv w:val="1"/>
      <w:marLeft w:val="0"/>
      <w:marRight w:val="0"/>
      <w:marTop w:val="0"/>
      <w:marBottom w:val="0"/>
      <w:divBdr>
        <w:top w:val="none" w:sz="0" w:space="0" w:color="auto"/>
        <w:left w:val="none" w:sz="0" w:space="0" w:color="auto"/>
        <w:bottom w:val="none" w:sz="0" w:space="0" w:color="auto"/>
        <w:right w:val="none" w:sz="0" w:space="0" w:color="auto"/>
      </w:divBdr>
    </w:div>
    <w:div w:id="390277193">
      <w:bodyDiv w:val="1"/>
      <w:marLeft w:val="0"/>
      <w:marRight w:val="0"/>
      <w:marTop w:val="0"/>
      <w:marBottom w:val="0"/>
      <w:divBdr>
        <w:top w:val="none" w:sz="0" w:space="0" w:color="auto"/>
        <w:left w:val="none" w:sz="0" w:space="0" w:color="auto"/>
        <w:bottom w:val="none" w:sz="0" w:space="0" w:color="auto"/>
        <w:right w:val="none" w:sz="0" w:space="0" w:color="auto"/>
      </w:divBdr>
    </w:div>
    <w:div w:id="397436255">
      <w:bodyDiv w:val="1"/>
      <w:marLeft w:val="0"/>
      <w:marRight w:val="0"/>
      <w:marTop w:val="0"/>
      <w:marBottom w:val="0"/>
      <w:divBdr>
        <w:top w:val="none" w:sz="0" w:space="0" w:color="auto"/>
        <w:left w:val="none" w:sz="0" w:space="0" w:color="auto"/>
        <w:bottom w:val="none" w:sz="0" w:space="0" w:color="auto"/>
        <w:right w:val="none" w:sz="0" w:space="0" w:color="auto"/>
      </w:divBdr>
    </w:div>
    <w:div w:id="398405254">
      <w:bodyDiv w:val="1"/>
      <w:marLeft w:val="0"/>
      <w:marRight w:val="0"/>
      <w:marTop w:val="0"/>
      <w:marBottom w:val="0"/>
      <w:divBdr>
        <w:top w:val="none" w:sz="0" w:space="0" w:color="auto"/>
        <w:left w:val="none" w:sz="0" w:space="0" w:color="auto"/>
        <w:bottom w:val="none" w:sz="0" w:space="0" w:color="auto"/>
        <w:right w:val="none" w:sz="0" w:space="0" w:color="auto"/>
      </w:divBdr>
    </w:div>
    <w:div w:id="400639096">
      <w:bodyDiv w:val="1"/>
      <w:marLeft w:val="0"/>
      <w:marRight w:val="0"/>
      <w:marTop w:val="0"/>
      <w:marBottom w:val="0"/>
      <w:divBdr>
        <w:top w:val="none" w:sz="0" w:space="0" w:color="auto"/>
        <w:left w:val="none" w:sz="0" w:space="0" w:color="auto"/>
        <w:bottom w:val="none" w:sz="0" w:space="0" w:color="auto"/>
        <w:right w:val="none" w:sz="0" w:space="0" w:color="auto"/>
      </w:divBdr>
    </w:div>
    <w:div w:id="409500054">
      <w:bodyDiv w:val="1"/>
      <w:marLeft w:val="0"/>
      <w:marRight w:val="0"/>
      <w:marTop w:val="0"/>
      <w:marBottom w:val="0"/>
      <w:divBdr>
        <w:top w:val="none" w:sz="0" w:space="0" w:color="auto"/>
        <w:left w:val="none" w:sz="0" w:space="0" w:color="auto"/>
        <w:bottom w:val="none" w:sz="0" w:space="0" w:color="auto"/>
        <w:right w:val="none" w:sz="0" w:space="0" w:color="auto"/>
      </w:divBdr>
    </w:div>
    <w:div w:id="418605496">
      <w:bodyDiv w:val="1"/>
      <w:marLeft w:val="0"/>
      <w:marRight w:val="0"/>
      <w:marTop w:val="0"/>
      <w:marBottom w:val="0"/>
      <w:divBdr>
        <w:top w:val="none" w:sz="0" w:space="0" w:color="auto"/>
        <w:left w:val="none" w:sz="0" w:space="0" w:color="auto"/>
        <w:bottom w:val="none" w:sz="0" w:space="0" w:color="auto"/>
        <w:right w:val="none" w:sz="0" w:space="0" w:color="auto"/>
      </w:divBdr>
    </w:div>
    <w:div w:id="423575222">
      <w:bodyDiv w:val="1"/>
      <w:marLeft w:val="0"/>
      <w:marRight w:val="0"/>
      <w:marTop w:val="0"/>
      <w:marBottom w:val="0"/>
      <w:divBdr>
        <w:top w:val="none" w:sz="0" w:space="0" w:color="auto"/>
        <w:left w:val="none" w:sz="0" w:space="0" w:color="auto"/>
        <w:bottom w:val="none" w:sz="0" w:space="0" w:color="auto"/>
        <w:right w:val="none" w:sz="0" w:space="0" w:color="auto"/>
      </w:divBdr>
    </w:div>
    <w:div w:id="435175435">
      <w:bodyDiv w:val="1"/>
      <w:marLeft w:val="0"/>
      <w:marRight w:val="0"/>
      <w:marTop w:val="0"/>
      <w:marBottom w:val="0"/>
      <w:divBdr>
        <w:top w:val="none" w:sz="0" w:space="0" w:color="auto"/>
        <w:left w:val="none" w:sz="0" w:space="0" w:color="auto"/>
        <w:bottom w:val="none" w:sz="0" w:space="0" w:color="auto"/>
        <w:right w:val="none" w:sz="0" w:space="0" w:color="auto"/>
      </w:divBdr>
    </w:div>
    <w:div w:id="446125227">
      <w:bodyDiv w:val="1"/>
      <w:marLeft w:val="0"/>
      <w:marRight w:val="0"/>
      <w:marTop w:val="0"/>
      <w:marBottom w:val="0"/>
      <w:divBdr>
        <w:top w:val="none" w:sz="0" w:space="0" w:color="auto"/>
        <w:left w:val="none" w:sz="0" w:space="0" w:color="auto"/>
        <w:bottom w:val="none" w:sz="0" w:space="0" w:color="auto"/>
        <w:right w:val="none" w:sz="0" w:space="0" w:color="auto"/>
      </w:divBdr>
    </w:div>
    <w:div w:id="455028939">
      <w:bodyDiv w:val="1"/>
      <w:marLeft w:val="0"/>
      <w:marRight w:val="0"/>
      <w:marTop w:val="0"/>
      <w:marBottom w:val="0"/>
      <w:divBdr>
        <w:top w:val="none" w:sz="0" w:space="0" w:color="auto"/>
        <w:left w:val="none" w:sz="0" w:space="0" w:color="auto"/>
        <w:bottom w:val="none" w:sz="0" w:space="0" w:color="auto"/>
        <w:right w:val="none" w:sz="0" w:space="0" w:color="auto"/>
      </w:divBdr>
    </w:div>
    <w:div w:id="458183510">
      <w:bodyDiv w:val="1"/>
      <w:marLeft w:val="0"/>
      <w:marRight w:val="0"/>
      <w:marTop w:val="0"/>
      <w:marBottom w:val="0"/>
      <w:divBdr>
        <w:top w:val="none" w:sz="0" w:space="0" w:color="auto"/>
        <w:left w:val="none" w:sz="0" w:space="0" w:color="auto"/>
        <w:bottom w:val="none" w:sz="0" w:space="0" w:color="auto"/>
        <w:right w:val="none" w:sz="0" w:space="0" w:color="auto"/>
      </w:divBdr>
      <w:divsChild>
        <w:div w:id="65345515">
          <w:marLeft w:val="0"/>
          <w:marRight w:val="0"/>
          <w:marTop w:val="0"/>
          <w:marBottom w:val="0"/>
          <w:divBdr>
            <w:top w:val="none" w:sz="0" w:space="0" w:color="auto"/>
            <w:left w:val="none" w:sz="0" w:space="0" w:color="auto"/>
            <w:bottom w:val="none" w:sz="0" w:space="0" w:color="auto"/>
            <w:right w:val="none" w:sz="0" w:space="0" w:color="auto"/>
          </w:divBdr>
          <w:divsChild>
            <w:div w:id="1788888689">
              <w:marLeft w:val="0"/>
              <w:marRight w:val="0"/>
              <w:marTop w:val="0"/>
              <w:marBottom w:val="0"/>
              <w:divBdr>
                <w:top w:val="none" w:sz="0" w:space="0" w:color="auto"/>
                <w:left w:val="none" w:sz="0" w:space="0" w:color="auto"/>
                <w:bottom w:val="none" w:sz="0" w:space="0" w:color="auto"/>
                <w:right w:val="none" w:sz="0" w:space="0" w:color="auto"/>
              </w:divBdr>
              <w:divsChild>
                <w:div w:id="35278676">
                  <w:marLeft w:val="0"/>
                  <w:marRight w:val="0"/>
                  <w:marTop w:val="0"/>
                  <w:marBottom w:val="0"/>
                  <w:divBdr>
                    <w:top w:val="none" w:sz="0" w:space="0" w:color="auto"/>
                    <w:left w:val="none" w:sz="0" w:space="0" w:color="auto"/>
                    <w:bottom w:val="none" w:sz="0" w:space="0" w:color="auto"/>
                    <w:right w:val="none" w:sz="0" w:space="0" w:color="auto"/>
                  </w:divBdr>
                  <w:divsChild>
                    <w:div w:id="9589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2431">
      <w:bodyDiv w:val="1"/>
      <w:marLeft w:val="0"/>
      <w:marRight w:val="0"/>
      <w:marTop w:val="0"/>
      <w:marBottom w:val="0"/>
      <w:divBdr>
        <w:top w:val="none" w:sz="0" w:space="0" w:color="auto"/>
        <w:left w:val="none" w:sz="0" w:space="0" w:color="auto"/>
        <w:bottom w:val="none" w:sz="0" w:space="0" w:color="auto"/>
        <w:right w:val="none" w:sz="0" w:space="0" w:color="auto"/>
      </w:divBdr>
    </w:div>
    <w:div w:id="463354402">
      <w:bodyDiv w:val="1"/>
      <w:marLeft w:val="0"/>
      <w:marRight w:val="0"/>
      <w:marTop w:val="0"/>
      <w:marBottom w:val="0"/>
      <w:divBdr>
        <w:top w:val="none" w:sz="0" w:space="0" w:color="auto"/>
        <w:left w:val="none" w:sz="0" w:space="0" w:color="auto"/>
        <w:bottom w:val="none" w:sz="0" w:space="0" w:color="auto"/>
        <w:right w:val="none" w:sz="0" w:space="0" w:color="auto"/>
      </w:divBdr>
    </w:div>
    <w:div w:id="476147344">
      <w:bodyDiv w:val="1"/>
      <w:marLeft w:val="0"/>
      <w:marRight w:val="0"/>
      <w:marTop w:val="0"/>
      <w:marBottom w:val="0"/>
      <w:divBdr>
        <w:top w:val="none" w:sz="0" w:space="0" w:color="auto"/>
        <w:left w:val="none" w:sz="0" w:space="0" w:color="auto"/>
        <w:bottom w:val="none" w:sz="0" w:space="0" w:color="auto"/>
        <w:right w:val="none" w:sz="0" w:space="0" w:color="auto"/>
      </w:divBdr>
    </w:div>
    <w:div w:id="479730162">
      <w:bodyDiv w:val="1"/>
      <w:marLeft w:val="0"/>
      <w:marRight w:val="0"/>
      <w:marTop w:val="0"/>
      <w:marBottom w:val="0"/>
      <w:divBdr>
        <w:top w:val="none" w:sz="0" w:space="0" w:color="auto"/>
        <w:left w:val="none" w:sz="0" w:space="0" w:color="auto"/>
        <w:bottom w:val="none" w:sz="0" w:space="0" w:color="auto"/>
        <w:right w:val="none" w:sz="0" w:space="0" w:color="auto"/>
      </w:divBdr>
      <w:divsChild>
        <w:div w:id="2036736553">
          <w:marLeft w:val="0"/>
          <w:marRight w:val="0"/>
          <w:marTop w:val="0"/>
          <w:marBottom w:val="0"/>
          <w:divBdr>
            <w:top w:val="none" w:sz="0" w:space="0" w:color="auto"/>
            <w:left w:val="none" w:sz="0" w:space="0" w:color="auto"/>
            <w:bottom w:val="none" w:sz="0" w:space="0" w:color="auto"/>
            <w:right w:val="none" w:sz="0" w:space="0" w:color="auto"/>
          </w:divBdr>
        </w:div>
      </w:divsChild>
    </w:div>
    <w:div w:id="485360274">
      <w:bodyDiv w:val="1"/>
      <w:marLeft w:val="0"/>
      <w:marRight w:val="0"/>
      <w:marTop w:val="0"/>
      <w:marBottom w:val="0"/>
      <w:divBdr>
        <w:top w:val="none" w:sz="0" w:space="0" w:color="auto"/>
        <w:left w:val="none" w:sz="0" w:space="0" w:color="auto"/>
        <w:bottom w:val="none" w:sz="0" w:space="0" w:color="auto"/>
        <w:right w:val="none" w:sz="0" w:space="0" w:color="auto"/>
      </w:divBdr>
    </w:div>
    <w:div w:id="485904551">
      <w:bodyDiv w:val="1"/>
      <w:marLeft w:val="0"/>
      <w:marRight w:val="0"/>
      <w:marTop w:val="0"/>
      <w:marBottom w:val="0"/>
      <w:divBdr>
        <w:top w:val="none" w:sz="0" w:space="0" w:color="auto"/>
        <w:left w:val="none" w:sz="0" w:space="0" w:color="auto"/>
        <w:bottom w:val="none" w:sz="0" w:space="0" w:color="auto"/>
        <w:right w:val="none" w:sz="0" w:space="0" w:color="auto"/>
      </w:divBdr>
    </w:div>
    <w:div w:id="491070754">
      <w:bodyDiv w:val="1"/>
      <w:marLeft w:val="0"/>
      <w:marRight w:val="0"/>
      <w:marTop w:val="0"/>
      <w:marBottom w:val="0"/>
      <w:divBdr>
        <w:top w:val="none" w:sz="0" w:space="0" w:color="auto"/>
        <w:left w:val="none" w:sz="0" w:space="0" w:color="auto"/>
        <w:bottom w:val="none" w:sz="0" w:space="0" w:color="auto"/>
        <w:right w:val="none" w:sz="0" w:space="0" w:color="auto"/>
      </w:divBdr>
    </w:div>
    <w:div w:id="494685006">
      <w:bodyDiv w:val="1"/>
      <w:marLeft w:val="0"/>
      <w:marRight w:val="0"/>
      <w:marTop w:val="0"/>
      <w:marBottom w:val="0"/>
      <w:divBdr>
        <w:top w:val="none" w:sz="0" w:space="0" w:color="auto"/>
        <w:left w:val="none" w:sz="0" w:space="0" w:color="auto"/>
        <w:bottom w:val="none" w:sz="0" w:space="0" w:color="auto"/>
        <w:right w:val="none" w:sz="0" w:space="0" w:color="auto"/>
      </w:divBdr>
    </w:div>
    <w:div w:id="495803210">
      <w:bodyDiv w:val="1"/>
      <w:marLeft w:val="0"/>
      <w:marRight w:val="0"/>
      <w:marTop w:val="0"/>
      <w:marBottom w:val="0"/>
      <w:divBdr>
        <w:top w:val="none" w:sz="0" w:space="0" w:color="auto"/>
        <w:left w:val="none" w:sz="0" w:space="0" w:color="auto"/>
        <w:bottom w:val="none" w:sz="0" w:space="0" w:color="auto"/>
        <w:right w:val="none" w:sz="0" w:space="0" w:color="auto"/>
      </w:divBdr>
    </w:div>
    <w:div w:id="499393534">
      <w:bodyDiv w:val="1"/>
      <w:marLeft w:val="0"/>
      <w:marRight w:val="0"/>
      <w:marTop w:val="0"/>
      <w:marBottom w:val="0"/>
      <w:divBdr>
        <w:top w:val="none" w:sz="0" w:space="0" w:color="auto"/>
        <w:left w:val="none" w:sz="0" w:space="0" w:color="auto"/>
        <w:bottom w:val="none" w:sz="0" w:space="0" w:color="auto"/>
        <w:right w:val="none" w:sz="0" w:space="0" w:color="auto"/>
      </w:divBdr>
      <w:divsChild>
        <w:div w:id="1714382906">
          <w:marLeft w:val="0"/>
          <w:marRight w:val="0"/>
          <w:marTop w:val="0"/>
          <w:marBottom w:val="0"/>
          <w:divBdr>
            <w:top w:val="none" w:sz="0" w:space="0" w:color="auto"/>
            <w:left w:val="none" w:sz="0" w:space="0" w:color="auto"/>
            <w:bottom w:val="none" w:sz="0" w:space="0" w:color="auto"/>
            <w:right w:val="none" w:sz="0" w:space="0" w:color="auto"/>
          </w:divBdr>
          <w:divsChild>
            <w:div w:id="216015709">
              <w:marLeft w:val="0"/>
              <w:marRight w:val="0"/>
              <w:marTop w:val="0"/>
              <w:marBottom w:val="0"/>
              <w:divBdr>
                <w:top w:val="none" w:sz="0" w:space="0" w:color="auto"/>
                <w:left w:val="none" w:sz="0" w:space="0" w:color="auto"/>
                <w:bottom w:val="none" w:sz="0" w:space="0" w:color="auto"/>
                <w:right w:val="none" w:sz="0" w:space="0" w:color="auto"/>
              </w:divBdr>
            </w:div>
            <w:div w:id="260144676">
              <w:marLeft w:val="0"/>
              <w:marRight w:val="0"/>
              <w:marTop w:val="0"/>
              <w:marBottom w:val="0"/>
              <w:divBdr>
                <w:top w:val="none" w:sz="0" w:space="0" w:color="auto"/>
                <w:left w:val="none" w:sz="0" w:space="0" w:color="auto"/>
                <w:bottom w:val="none" w:sz="0" w:space="0" w:color="auto"/>
                <w:right w:val="none" w:sz="0" w:space="0" w:color="auto"/>
              </w:divBdr>
            </w:div>
            <w:div w:id="658845657">
              <w:marLeft w:val="0"/>
              <w:marRight w:val="0"/>
              <w:marTop w:val="0"/>
              <w:marBottom w:val="0"/>
              <w:divBdr>
                <w:top w:val="none" w:sz="0" w:space="0" w:color="auto"/>
                <w:left w:val="none" w:sz="0" w:space="0" w:color="auto"/>
                <w:bottom w:val="none" w:sz="0" w:space="0" w:color="auto"/>
                <w:right w:val="none" w:sz="0" w:space="0" w:color="auto"/>
              </w:divBdr>
            </w:div>
            <w:div w:id="659892587">
              <w:marLeft w:val="0"/>
              <w:marRight w:val="0"/>
              <w:marTop w:val="0"/>
              <w:marBottom w:val="0"/>
              <w:divBdr>
                <w:top w:val="none" w:sz="0" w:space="0" w:color="auto"/>
                <w:left w:val="none" w:sz="0" w:space="0" w:color="auto"/>
                <w:bottom w:val="none" w:sz="0" w:space="0" w:color="auto"/>
                <w:right w:val="none" w:sz="0" w:space="0" w:color="auto"/>
              </w:divBdr>
            </w:div>
            <w:div w:id="800467010">
              <w:marLeft w:val="0"/>
              <w:marRight w:val="0"/>
              <w:marTop w:val="0"/>
              <w:marBottom w:val="0"/>
              <w:divBdr>
                <w:top w:val="none" w:sz="0" w:space="0" w:color="auto"/>
                <w:left w:val="none" w:sz="0" w:space="0" w:color="auto"/>
                <w:bottom w:val="none" w:sz="0" w:space="0" w:color="auto"/>
                <w:right w:val="none" w:sz="0" w:space="0" w:color="auto"/>
              </w:divBdr>
            </w:div>
            <w:div w:id="918518499">
              <w:marLeft w:val="0"/>
              <w:marRight w:val="0"/>
              <w:marTop w:val="0"/>
              <w:marBottom w:val="0"/>
              <w:divBdr>
                <w:top w:val="none" w:sz="0" w:space="0" w:color="auto"/>
                <w:left w:val="none" w:sz="0" w:space="0" w:color="auto"/>
                <w:bottom w:val="none" w:sz="0" w:space="0" w:color="auto"/>
                <w:right w:val="none" w:sz="0" w:space="0" w:color="auto"/>
              </w:divBdr>
            </w:div>
            <w:div w:id="1253736348">
              <w:marLeft w:val="0"/>
              <w:marRight w:val="0"/>
              <w:marTop w:val="0"/>
              <w:marBottom w:val="0"/>
              <w:divBdr>
                <w:top w:val="none" w:sz="0" w:space="0" w:color="auto"/>
                <w:left w:val="none" w:sz="0" w:space="0" w:color="auto"/>
                <w:bottom w:val="none" w:sz="0" w:space="0" w:color="auto"/>
                <w:right w:val="none" w:sz="0" w:space="0" w:color="auto"/>
              </w:divBdr>
            </w:div>
            <w:div w:id="1929339340">
              <w:marLeft w:val="0"/>
              <w:marRight w:val="0"/>
              <w:marTop w:val="0"/>
              <w:marBottom w:val="0"/>
              <w:divBdr>
                <w:top w:val="none" w:sz="0" w:space="0" w:color="auto"/>
                <w:left w:val="none" w:sz="0" w:space="0" w:color="auto"/>
                <w:bottom w:val="none" w:sz="0" w:space="0" w:color="auto"/>
                <w:right w:val="none" w:sz="0" w:space="0" w:color="auto"/>
              </w:divBdr>
            </w:div>
            <w:div w:id="20197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58721">
      <w:bodyDiv w:val="1"/>
      <w:marLeft w:val="0"/>
      <w:marRight w:val="0"/>
      <w:marTop w:val="0"/>
      <w:marBottom w:val="0"/>
      <w:divBdr>
        <w:top w:val="none" w:sz="0" w:space="0" w:color="auto"/>
        <w:left w:val="none" w:sz="0" w:space="0" w:color="auto"/>
        <w:bottom w:val="none" w:sz="0" w:space="0" w:color="auto"/>
        <w:right w:val="none" w:sz="0" w:space="0" w:color="auto"/>
      </w:divBdr>
    </w:div>
    <w:div w:id="524682884">
      <w:bodyDiv w:val="1"/>
      <w:marLeft w:val="0"/>
      <w:marRight w:val="0"/>
      <w:marTop w:val="0"/>
      <w:marBottom w:val="0"/>
      <w:divBdr>
        <w:top w:val="none" w:sz="0" w:space="0" w:color="auto"/>
        <w:left w:val="none" w:sz="0" w:space="0" w:color="auto"/>
        <w:bottom w:val="none" w:sz="0" w:space="0" w:color="auto"/>
        <w:right w:val="none" w:sz="0" w:space="0" w:color="auto"/>
      </w:divBdr>
    </w:div>
    <w:div w:id="543060143">
      <w:bodyDiv w:val="1"/>
      <w:marLeft w:val="0"/>
      <w:marRight w:val="0"/>
      <w:marTop w:val="0"/>
      <w:marBottom w:val="0"/>
      <w:divBdr>
        <w:top w:val="none" w:sz="0" w:space="0" w:color="auto"/>
        <w:left w:val="none" w:sz="0" w:space="0" w:color="auto"/>
        <w:bottom w:val="none" w:sz="0" w:space="0" w:color="auto"/>
        <w:right w:val="none" w:sz="0" w:space="0" w:color="auto"/>
      </w:divBdr>
    </w:div>
    <w:div w:id="548810198">
      <w:bodyDiv w:val="1"/>
      <w:marLeft w:val="0"/>
      <w:marRight w:val="0"/>
      <w:marTop w:val="0"/>
      <w:marBottom w:val="0"/>
      <w:divBdr>
        <w:top w:val="none" w:sz="0" w:space="0" w:color="auto"/>
        <w:left w:val="none" w:sz="0" w:space="0" w:color="auto"/>
        <w:bottom w:val="none" w:sz="0" w:space="0" w:color="auto"/>
        <w:right w:val="none" w:sz="0" w:space="0" w:color="auto"/>
      </w:divBdr>
    </w:div>
    <w:div w:id="555624857">
      <w:bodyDiv w:val="1"/>
      <w:marLeft w:val="0"/>
      <w:marRight w:val="0"/>
      <w:marTop w:val="0"/>
      <w:marBottom w:val="0"/>
      <w:divBdr>
        <w:top w:val="none" w:sz="0" w:space="0" w:color="auto"/>
        <w:left w:val="none" w:sz="0" w:space="0" w:color="auto"/>
        <w:bottom w:val="none" w:sz="0" w:space="0" w:color="auto"/>
        <w:right w:val="none" w:sz="0" w:space="0" w:color="auto"/>
      </w:divBdr>
    </w:div>
    <w:div w:id="558786944">
      <w:bodyDiv w:val="1"/>
      <w:marLeft w:val="0"/>
      <w:marRight w:val="0"/>
      <w:marTop w:val="0"/>
      <w:marBottom w:val="0"/>
      <w:divBdr>
        <w:top w:val="none" w:sz="0" w:space="0" w:color="auto"/>
        <w:left w:val="none" w:sz="0" w:space="0" w:color="auto"/>
        <w:bottom w:val="none" w:sz="0" w:space="0" w:color="auto"/>
        <w:right w:val="none" w:sz="0" w:space="0" w:color="auto"/>
      </w:divBdr>
    </w:div>
    <w:div w:id="560674234">
      <w:bodyDiv w:val="1"/>
      <w:marLeft w:val="0"/>
      <w:marRight w:val="0"/>
      <w:marTop w:val="0"/>
      <w:marBottom w:val="0"/>
      <w:divBdr>
        <w:top w:val="none" w:sz="0" w:space="0" w:color="auto"/>
        <w:left w:val="none" w:sz="0" w:space="0" w:color="auto"/>
        <w:bottom w:val="none" w:sz="0" w:space="0" w:color="auto"/>
        <w:right w:val="none" w:sz="0" w:space="0" w:color="auto"/>
      </w:divBdr>
    </w:div>
    <w:div w:id="564989903">
      <w:bodyDiv w:val="1"/>
      <w:marLeft w:val="0"/>
      <w:marRight w:val="0"/>
      <w:marTop w:val="0"/>
      <w:marBottom w:val="0"/>
      <w:divBdr>
        <w:top w:val="none" w:sz="0" w:space="0" w:color="auto"/>
        <w:left w:val="none" w:sz="0" w:space="0" w:color="auto"/>
        <w:bottom w:val="none" w:sz="0" w:space="0" w:color="auto"/>
        <w:right w:val="none" w:sz="0" w:space="0" w:color="auto"/>
      </w:divBdr>
    </w:div>
    <w:div w:id="565186695">
      <w:bodyDiv w:val="1"/>
      <w:marLeft w:val="0"/>
      <w:marRight w:val="0"/>
      <w:marTop w:val="0"/>
      <w:marBottom w:val="0"/>
      <w:divBdr>
        <w:top w:val="none" w:sz="0" w:space="0" w:color="auto"/>
        <w:left w:val="none" w:sz="0" w:space="0" w:color="auto"/>
        <w:bottom w:val="none" w:sz="0" w:space="0" w:color="auto"/>
        <w:right w:val="none" w:sz="0" w:space="0" w:color="auto"/>
      </w:divBdr>
    </w:div>
    <w:div w:id="566379944">
      <w:bodyDiv w:val="1"/>
      <w:marLeft w:val="0"/>
      <w:marRight w:val="0"/>
      <w:marTop w:val="0"/>
      <w:marBottom w:val="0"/>
      <w:divBdr>
        <w:top w:val="none" w:sz="0" w:space="0" w:color="auto"/>
        <w:left w:val="none" w:sz="0" w:space="0" w:color="auto"/>
        <w:bottom w:val="none" w:sz="0" w:space="0" w:color="auto"/>
        <w:right w:val="none" w:sz="0" w:space="0" w:color="auto"/>
      </w:divBdr>
    </w:div>
    <w:div w:id="570042603">
      <w:bodyDiv w:val="1"/>
      <w:marLeft w:val="0"/>
      <w:marRight w:val="0"/>
      <w:marTop w:val="0"/>
      <w:marBottom w:val="0"/>
      <w:divBdr>
        <w:top w:val="none" w:sz="0" w:space="0" w:color="auto"/>
        <w:left w:val="none" w:sz="0" w:space="0" w:color="auto"/>
        <w:bottom w:val="none" w:sz="0" w:space="0" w:color="auto"/>
        <w:right w:val="none" w:sz="0" w:space="0" w:color="auto"/>
      </w:divBdr>
    </w:div>
    <w:div w:id="609237893">
      <w:bodyDiv w:val="1"/>
      <w:marLeft w:val="0"/>
      <w:marRight w:val="0"/>
      <w:marTop w:val="0"/>
      <w:marBottom w:val="0"/>
      <w:divBdr>
        <w:top w:val="none" w:sz="0" w:space="0" w:color="auto"/>
        <w:left w:val="none" w:sz="0" w:space="0" w:color="auto"/>
        <w:bottom w:val="none" w:sz="0" w:space="0" w:color="auto"/>
        <w:right w:val="none" w:sz="0" w:space="0" w:color="auto"/>
      </w:divBdr>
    </w:div>
    <w:div w:id="627783201">
      <w:bodyDiv w:val="1"/>
      <w:marLeft w:val="0"/>
      <w:marRight w:val="0"/>
      <w:marTop w:val="0"/>
      <w:marBottom w:val="0"/>
      <w:divBdr>
        <w:top w:val="none" w:sz="0" w:space="0" w:color="auto"/>
        <w:left w:val="none" w:sz="0" w:space="0" w:color="auto"/>
        <w:bottom w:val="none" w:sz="0" w:space="0" w:color="auto"/>
        <w:right w:val="none" w:sz="0" w:space="0" w:color="auto"/>
      </w:divBdr>
    </w:div>
    <w:div w:id="629627745">
      <w:bodyDiv w:val="1"/>
      <w:marLeft w:val="0"/>
      <w:marRight w:val="0"/>
      <w:marTop w:val="0"/>
      <w:marBottom w:val="0"/>
      <w:divBdr>
        <w:top w:val="none" w:sz="0" w:space="0" w:color="auto"/>
        <w:left w:val="none" w:sz="0" w:space="0" w:color="auto"/>
        <w:bottom w:val="none" w:sz="0" w:space="0" w:color="auto"/>
        <w:right w:val="none" w:sz="0" w:space="0" w:color="auto"/>
      </w:divBdr>
    </w:div>
    <w:div w:id="631712876">
      <w:bodyDiv w:val="1"/>
      <w:marLeft w:val="0"/>
      <w:marRight w:val="0"/>
      <w:marTop w:val="0"/>
      <w:marBottom w:val="0"/>
      <w:divBdr>
        <w:top w:val="none" w:sz="0" w:space="0" w:color="auto"/>
        <w:left w:val="none" w:sz="0" w:space="0" w:color="auto"/>
        <w:bottom w:val="none" w:sz="0" w:space="0" w:color="auto"/>
        <w:right w:val="none" w:sz="0" w:space="0" w:color="auto"/>
      </w:divBdr>
    </w:div>
    <w:div w:id="632323230">
      <w:bodyDiv w:val="1"/>
      <w:marLeft w:val="0"/>
      <w:marRight w:val="0"/>
      <w:marTop w:val="0"/>
      <w:marBottom w:val="0"/>
      <w:divBdr>
        <w:top w:val="none" w:sz="0" w:space="0" w:color="auto"/>
        <w:left w:val="none" w:sz="0" w:space="0" w:color="auto"/>
        <w:bottom w:val="none" w:sz="0" w:space="0" w:color="auto"/>
        <w:right w:val="none" w:sz="0" w:space="0" w:color="auto"/>
      </w:divBdr>
    </w:div>
    <w:div w:id="635455813">
      <w:bodyDiv w:val="1"/>
      <w:marLeft w:val="0"/>
      <w:marRight w:val="0"/>
      <w:marTop w:val="0"/>
      <w:marBottom w:val="0"/>
      <w:divBdr>
        <w:top w:val="none" w:sz="0" w:space="0" w:color="auto"/>
        <w:left w:val="none" w:sz="0" w:space="0" w:color="auto"/>
        <w:bottom w:val="none" w:sz="0" w:space="0" w:color="auto"/>
        <w:right w:val="none" w:sz="0" w:space="0" w:color="auto"/>
      </w:divBdr>
    </w:div>
    <w:div w:id="636104122">
      <w:bodyDiv w:val="1"/>
      <w:marLeft w:val="0"/>
      <w:marRight w:val="0"/>
      <w:marTop w:val="0"/>
      <w:marBottom w:val="0"/>
      <w:divBdr>
        <w:top w:val="none" w:sz="0" w:space="0" w:color="auto"/>
        <w:left w:val="none" w:sz="0" w:space="0" w:color="auto"/>
        <w:bottom w:val="none" w:sz="0" w:space="0" w:color="auto"/>
        <w:right w:val="none" w:sz="0" w:space="0" w:color="auto"/>
      </w:divBdr>
    </w:div>
    <w:div w:id="637608744">
      <w:bodyDiv w:val="1"/>
      <w:marLeft w:val="0"/>
      <w:marRight w:val="0"/>
      <w:marTop w:val="0"/>
      <w:marBottom w:val="0"/>
      <w:divBdr>
        <w:top w:val="none" w:sz="0" w:space="0" w:color="auto"/>
        <w:left w:val="none" w:sz="0" w:space="0" w:color="auto"/>
        <w:bottom w:val="none" w:sz="0" w:space="0" w:color="auto"/>
        <w:right w:val="none" w:sz="0" w:space="0" w:color="auto"/>
      </w:divBdr>
    </w:div>
    <w:div w:id="640813630">
      <w:bodyDiv w:val="1"/>
      <w:marLeft w:val="0"/>
      <w:marRight w:val="0"/>
      <w:marTop w:val="0"/>
      <w:marBottom w:val="0"/>
      <w:divBdr>
        <w:top w:val="none" w:sz="0" w:space="0" w:color="auto"/>
        <w:left w:val="none" w:sz="0" w:space="0" w:color="auto"/>
        <w:bottom w:val="none" w:sz="0" w:space="0" w:color="auto"/>
        <w:right w:val="none" w:sz="0" w:space="0" w:color="auto"/>
      </w:divBdr>
    </w:div>
    <w:div w:id="647326791">
      <w:bodyDiv w:val="1"/>
      <w:marLeft w:val="0"/>
      <w:marRight w:val="0"/>
      <w:marTop w:val="0"/>
      <w:marBottom w:val="0"/>
      <w:divBdr>
        <w:top w:val="none" w:sz="0" w:space="0" w:color="auto"/>
        <w:left w:val="none" w:sz="0" w:space="0" w:color="auto"/>
        <w:bottom w:val="none" w:sz="0" w:space="0" w:color="auto"/>
        <w:right w:val="none" w:sz="0" w:space="0" w:color="auto"/>
      </w:divBdr>
    </w:div>
    <w:div w:id="652568944">
      <w:bodyDiv w:val="1"/>
      <w:marLeft w:val="0"/>
      <w:marRight w:val="0"/>
      <w:marTop w:val="0"/>
      <w:marBottom w:val="0"/>
      <w:divBdr>
        <w:top w:val="none" w:sz="0" w:space="0" w:color="auto"/>
        <w:left w:val="none" w:sz="0" w:space="0" w:color="auto"/>
        <w:bottom w:val="none" w:sz="0" w:space="0" w:color="auto"/>
        <w:right w:val="none" w:sz="0" w:space="0" w:color="auto"/>
      </w:divBdr>
    </w:div>
    <w:div w:id="652836849">
      <w:bodyDiv w:val="1"/>
      <w:marLeft w:val="0"/>
      <w:marRight w:val="0"/>
      <w:marTop w:val="0"/>
      <w:marBottom w:val="0"/>
      <w:divBdr>
        <w:top w:val="none" w:sz="0" w:space="0" w:color="auto"/>
        <w:left w:val="none" w:sz="0" w:space="0" w:color="auto"/>
        <w:bottom w:val="none" w:sz="0" w:space="0" w:color="auto"/>
        <w:right w:val="none" w:sz="0" w:space="0" w:color="auto"/>
      </w:divBdr>
    </w:div>
    <w:div w:id="660621599">
      <w:bodyDiv w:val="1"/>
      <w:marLeft w:val="0"/>
      <w:marRight w:val="0"/>
      <w:marTop w:val="0"/>
      <w:marBottom w:val="0"/>
      <w:divBdr>
        <w:top w:val="none" w:sz="0" w:space="0" w:color="auto"/>
        <w:left w:val="none" w:sz="0" w:space="0" w:color="auto"/>
        <w:bottom w:val="none" w:sz="0" w:space="0" w:color="auto"/>
        <w:right w:val="none" w:sz="0" w:space="0" w:color="auto"/>
      </w:divBdr>
    </w:div>
    <w:div w:id="663701775">
      <w:bodyDiv w:val="1"/>
      <w:marLeft w:val="0"/>
      <w:marRight w:val="0"/>
      <w:marTop w:val="0"/>
      <w:marBottom w:val="0"/>
      <w:divBdr>
        <w:top w:val="none" w:sz="0" w:space="0" w:color="auto"/>
        <w:left w:val="none" w:sz="0" w:space="0" w:color="auto"/>
        <w:bottom w:val="none" w:sz="0" w:space="0" w:color="auto"/>
        <w:right w:val="none" w:sz="0" w:space="0" w:color="auto"/>
      </w:divBdr>
    </w:div>
    <w:div w:id="664745268">
      <w:bodyDiv w:val="1"/>
      <w:marLeft w:val="0"/>
      <w:marRight w:val="0"/>
      <w:marTop w:val="0"/>
      <w:marBottom w:val="0"/>
      <w:divBdr>
        <w:top w:val="none" w:sz="0" w:space="0" w:color="auto"/>
        <w:left w:val="none" w:sz="0" w:space="0" w:color="auto"/>
        <w:bottom w:val="none" w:sz="0" w:space="0" w:color="auto"/>
        <w:right w:val="none" w:sz="0" w:space="0" w:color="auto"/>
      </w:divBdr>
    </w:div>
    <w:div w:id="675352258">
      <w:bodyDiv w:val="1"/>
      <w:marLeft w:val="0"/>
      <w:marRight w:val="0"/>
      <w:marTop w:val="0"/>
      <w:marBottom w:val="0"/>
      <w:divBdr>
        <w:top w:val="none" w:sz="0" w:space="0" w:color="auto"/>
        <w:left w:val="none" w:sz="0" w:space="0" w:color="auto"/>
        <w:bottom w:val="none" w:sz="0" w:space="0" w:color="auto"/>
        <w:right w:val="none" w:sz="0" w:space="0" w:color="auto"/>
      </w:divBdr>
    </w:div>
    <w:div w:id="688412886">
      <w:bodyDiv w:val="1"/>
      <w:marLeft w:val="0"/>
      <w:marRight w:val="0"/>
      <w:marTop w:val="0"/>
      <w:marBottom w:val="0"/>
      <w:divBdr>
        <w:top w:val="none" w:sz="0" w:space="0" w:color="auto"/>
        <w:left w:val="none" w:sz="0" w:space="0" w:color="auto"/>
        <w:bottom w:val="none" w:sz="0" w:space="0" w:color="auto"/>
        <w:right w:val="none" w:sz="0" w:space="0" w:color="auto"/>
      </w:divBdr>
    </w:div>
    <w:div w:id="690229263">
      <w:bodyDiv w:val="1"/>
      <w:marLeft w:val="0"/>
      <w:marRight w:val="0"/>
      <w:marTop w:val="0"/>
      <w:marBottom w:val="0"/>
      <w:divBdr>
        <w:top w:val="none" w:sz="0" w:space="0" w:color="auto"/>
        <w:left w:val="none" w:sz="0" w:space="0" w:color="auto"/>
        <w:bottom w:val="none" w:sz="0" w:space="0" w:color="auto"/>
        <w:right w:val="none" w:sz="0" w:space="0" w:color="auto"/>
      </w:divBdr>
    </w:div>
    <w:div w:id="691348131">
      <w:bodyDiv w:val="1"/>
      <w:marLeft w:val="0"/>
      <w:marRight w:val="0"/>
      <w:marTop w:val="0"/>
      <w:marBottom w:val="0"/>
      <w:divBdr>
        <w:top w:val="none" w:sz="0" w:space="0" w:color="auto"/>
        <w:left w:val="none" w:sz="0" w:space="0" w:color="auto"/>
        <w:bottom w:val="none" w:sz="0" w:space="0" w:color="auto"/>
        <w:right w:val="none" w:sz="0" w:space="0" w:color="auto"/>
      </w:divBdr>
    </w:div>
    <w:div w:id="692654514">
      <w:bodyDiv w:val="1"/>
      <w:marLeft w:val="0"/>
      <w:marRight w:val="0"/>
      <w:marTop w:val="0"/>
      <w:marBottom w:val="0"/>
      <w:divBdr>
        <w:top w:val="none" w:sz="0" w:space="0" w:color="auto"/>
        <w:left w:val="none" w:sz="0" w:space="0" w:color="auto"/>
        <w:bottom w:val="none" w:sz="0" w:space="0" w:color="auto"/>
        <w:right w:val="none" w:sz="0" w:space="0" w:color="auto"/>
      </w:divBdr>
    </w:div>
    <w:div w:id="693070141">
      <w:bodyDiv w:val="1"/>
      <w:marLeft w:val="0"/>
      <w:marRight w:val="0"/>
      <w:marTop w:val="0"/>
      <w:marBottom w:val="0"/>
      <w:divBdr>
        <w:top w:val="none" w:sz="0" w:space="0" w:color="auto"/>
        <w:left w:val="none" w:sz="0" w:space="0" w:color="auto"/>
        <w:bottom w:val="none" w:sz="0" w:space="0" w:color="auto"/>
        <w:right w:val="none" w:sz="0" w:space="0" w:color="auto"/>
      </w:divBdr>
    </w:div>
    <w:div w:id="706033023">
      <w:bodyDiv w:val="1"/>
      <w:marLeft w:val="0"/>
      <w:marRight w:val="0"/>
      <w:marTop w:val="0"/>
      <w:marBottom w:val="0"/>
      <w:divBdr>
        <w:top w:val="none" w:sz="0" w:space="0" w:color="auto"/>
        <w:left w:val="none" w:sz="0" w:space="0" w:color="auto"/>
        <w:bottom w:val="none" w:sz="0" w:space="0" w:color="auto"/>
        <w:right w:val="none" w:sz="0" w:space="0" w:color="auto"/>
      </w:divBdr>
    </w:div>
    <w:div w:id="706369489">
      <w:bodyDiv w:val="1"/>
      <w:marLeft w:val="0"/>
      <w:marRight w:val="0"/>
      <w:marTop w:val="0"/>
      <w:marBottom w:val="0"/>
      <w:divBdr>
        <w:top w:val="none" w:sz="0" w:space="0" w:color="auto"/>
        <w:left w:val="none" w:sz="0" w:space="0" w:color="auto"/>
        <w:bottom w:val="none" w:sz="0" w:space="0" w:color="auto"/>
        <w:right w:val="none" w:sz="0" w:space="0" w:color="auto"/>
      </w:divBdr>
    </w:div>
    <w:div w:id="712385817">
      <w:bodyDiv w:val="1"/>
      <w:marLeft w:val="0"/>
      <w:marRight w:val="0"/>
      <w:marTop w:val="0"/>
      <w:marBottom w:val="0"/>
      <w:divBdr>
        <w:top w:val="none" w:sz="0" w:space="0" w:color="auto"/>
        <w:left w:val="none" w:sz="0" w:space="0" w:color="auto"/>
        <w:bottom w:val="none" w:sz="0" w:space="0" w:color="auto"/>
        <w:right w:val="none" w:sz="0" w:space="0" w:color="auto"/>
      </w:divBdr>
    </w:div>
    <w:div w:id="712660417">
      <w:bodyDiv w:val="1"/>
      <w:marLeft w:val="0"/>
      <w:marRight w:val="0"/>
      <w:marTop w:val="0"/>
      <w:marBottom w:val="0"/>
      <w:divBdr>
        <w:top w:val="none" w:sz="0" w:space="0" w:color="auto"/>
        <w:left w:val="none" w:sz="0" w:space="0" w:color="auto"/>
        <w:bottom w:val="none" w:sz="0" w:space="0" w:color="auto"/>
        <w:right w:val="none" w:sz="0" w:space="0" w:color="auto"/>
      </w:divBdr>
    </w:div>
    <w:div w:id="713850771">
      <w:bodyDiv w:val="1"/>
      <w:marLeft w:val="0"/>
      <w:marRight w:val="0"/>
      <w:marTop w:val="0"/>
      <w:marBottom w:val="0"/>
      <w:divBdr>
        <w:top w:val="none" w:sz="0" w:space="0" w:color="auto"/>
        <w:left w:val="none" w:sz="0" w:space="0" w:color="auto"/>
        <w:bottom w:val="none" w:sz="0" w:space="0" w:color="auto"/>
        <w:right w:val="none" w:sz="0" w:space="0" w:color="auto"/>
      </w:divBdr>
    </w:div>
    <w:div w:id="721096126">
      <w:bodyDiv w:val="1"/>
      <w:marLeft w:val="0"/>
      <w:marRight w:val="0"/>
      <w:marTop w:val="0"/>
      <w:marBottom w:val="0"/>
      <w:divBdr>
        <w:top w:val="none" w:sz="0" w:space="0" w:color="auto"/>
        <w:left w:val="none" w:sz="0" w:space="0" w:color="auto"/>
        <w:bottom w:val="none" w:sz="0" w:space="0" w:color="auto"/>
        <w:right w:val="none" w:sz="0" w:space="0" w:color="auto"/>
      </w:divBdr>
    </w:div>
    <w:div w:id="741568220">
      <w:bodyDiv w:val="1"/>
      <w:marLeft w:val="0"/>
      <w:marRight w:val="0"/>
      <w:marTop w:val="0"/>
      <w:marBottom w:val="0"/>
      <w:divBdr>
        <w:top w:val="none" w:sz="0" w:space="0" w:color="auto"/>
        <w:left w:val="none" w:sz="0" w:space="0" w:color="auto"/>
        <w:bottom w:val="none" w:sz="0" w:space="0" w:color="auto"/>
        <w:right w:val="none" w:sz="0" w:space="0" w:color="auto"/>
      </w:divBdr>
    </w:div>
    <w:div w:id="742066040">
      <w:bodyDiv w:val="1"/>
      <w:marLeft w:val="0"/>
      <w:marRight w:val="0"/>
      <w:marTop w:val="0"/>
      <w:marBottom w:val="0"/>
      <w:divBdr>
        <w:top w:val="none" w:sz="0" w:space="0" w:color="auto"/>
        <w:left w:val="none" w:sz="0" w:space="0" w:color="auto"/>
        <w:bottom w:val="none" w:sz="0" w:space="0" w:color="auto"/>
        <w:right w:val="none" w:sz="0" w:space="0" w:color="auto"/>
      </w:divBdr>
    </w:div>
    <w:div w:id="752045840">
      <w:bodyDiv w:val="1"/>
      <w:marLeft w:val="0"/>
      <w:marRight w:val="0"/>
      <w:marTop w:val="0"/>
      <w:marBottom w:val="0"/>
      <w:divBdr>
        <w:top w:val="none" w:sz="0" w:space="0" w:color="auto"/>
        <w:left w:val="none" w:sz="0" w:space="0" w:color="auto"/>
        <w:bottom w:val="none" w:sz="0" w:space="0" w:color="auto"/>
        <w:right w:val="none" w:sz="0" w:space="0" w:color="auto"/>
      </w:divBdr>
    </w:div>
    <w:div w:id="761414461">
      <w:bodyDiv w:val="1"/>
      <w:marLeft w:val="0"/>
      <w:marRight w:val="0"/>
      <w:marTop w:val="0"/>
      <w:marBottom w:val="0"/>
      <w:divBdr>
        <w:top w:val="none" w:sz="0" w:space="0" w:color="auto"/>
        <w:left w:val="none" w:sz="0" w:space="0" w:color="auto"/>
        <w:bottom w:val="none" w:sz="0" w:space="0" w:color="auto"/>
        <w:right w:val="none" w:sz="0" w:space="0" w:color="auto"/>
      </w:divBdr>
    </w:div>
    <w:div w:id="765347494">
      <w:bodyDiv w:val="1"/>
      <w:marLeft w:val="0"/>
      <w:marRight w:val="0"/>
      <w:marTop w:val="0"/>
      <w:marBottom w:val="0"/>
      <w:divBdr>
        <w:top w:val="none" w:sz="0" w:space="0" w:color="auto"/>
        <w:left w:val="none" w:sz="0" w:space="0" w:color="auto"/>
        <w:bottom w:val="none" w:sz="0" w:space="0" w:color="auto"/>
        <w:right w:val="none" w:sz="0" w:space="0" w:color="auto"/>
      </w:divBdr>
    </w:div>
    <w:div w:id="772676892">
      <w:bodyDiv w:val="1"/>
      <w:marLeft w:val="0"/>
      <w:marRight w:val="0"/>
      <w:marTop w:val="0"/>
      <w:marBottom w:val="0"/>
      <w:divBdr>
        <w:top w:val="none" w:sz="0" w:space="0" w:color="auto"/>
        <w:left w:val="none" w:sz="0" w:space="0" w:color="auto"/>
        <w:bottom w:val="none" w:sz="0" w:space="0" w:color="auto"/>
        <w:right w:val="none" w:sz="0" w:space="0" w:color="auto"/>
      </w:divBdr>
    </w:div>
    <w:div w:id="773134352">
      <w:bodyDiv w:val="1"/>
      <w:marLeft w:val="0"/>
      <w:marRight w:val="0"/>
      <w:marTop w:val="0"/>
      <w:marBottom w:val="0"/>
      <w:divBdr>
        <w:top w:val="none" w:sz="0" w:space="0" w:color="auto"/>
        <w:left w:val="none" w:sz="0" w:space="0" w:color="auto"/>
        <w:bottom w:val="none" w:sz="0" w:space="0" w:color="auto"/>
        <w:right w:val="none" w:sz="0" w:space="0" w:color="auto"/>
      </w:divBdr>
    </w:div>
    <w:div w:id="781076026">
      <w:bodyDiv w:val="1"/>
      <w:marLeft w:val="0"/>
      <w:marRight w:val="0"/>
      <w:marTop w:val="0"/>
      <w:marBottom w:val="0"/>
      <w:divBdr>
        <w:top w:val="none" w:sz="0" w:space="0" w:color="auto"/>
        <w:left w:val="none" w:sz="0" w:space="0" w:color="auto"/>
        <w:bottom w:val="none" w:sz="0" w:space="0" w:color="auto"/>
        <w:right w:val="none" w:sz="0" w:space="0" w:color="auto"/>
      </w:divBdr>
    </w:div>
    <w:div w:id="782068467">
      <w:bodyDiv w:val="1"/>
      <w:marLeft w:val="0"/>
      <w:marRight w:val="0"/>
      <w:marTop w:val="0"/>
      <w:marBottom w:val="0"/>
      <w:divBdr>
        <w:top w:val="none" w:sz="0" w:space="0" w:color="auto"/>
        <w:left w:val="none" w:sz="0" w:space="0" w:color="auto"/>
        <w:bottom w:val="none" w:sz="0" w:space="0" w:color="auto"/>
        <w:right w:val="none" w:sz="0" w:space="0" w:color="auto"/>
      </w:divBdr>
    </w:div>
    <w:div w:id="788087496">
      <w:bodyDiv w:val="1"/>
      <w:marLeft w:val="0"/>
      <w:marRight w:val="0"/>
      <w:marTop w:val="0"/>
      <w:marBottom w:val="0"/>
      <w:divBdr>
        <w:top w:val="none" w:sz="0" w:space="0" w:color="auto"/>
        <w:left w:val="none" w:sz="0" w:space="0" w:color="auto"/>
        <w:bottom w:val="none" w:sz="0" w:space="0" w:color="auto"/>
        <w:right w:val="none" w:sz="0" w:space="0" w:color="auto"/>
      </w:divBdr>
    </w:div>
    <w:div w:id="790900106">
      <w:bodyDiv w:val="1"/>
      <w:marLeft w:val="0"/>
      <w:marRight w:val="0"/>
      <w:marTop w:val="0"/>
      <w:marBottom w:val="0"/>
      <w:divBdr>
        <w:top w:val="none" w:sz="0" w:space="0" w:color="auto"/>
        <w:left w:val="none" w:sz="0" w:space="0" w:color="auto"/>
        <w:bottom w:val="none" w:sz="0" w:space="0" w:color="auto"/>
        <w:right w:val="none" w:sz="0" w:space="0" w:color="auto"/>
      </w:divBdr>
    </w:div>
    <w:div w:id="791754843">
      <w:bodyDiv w:val="1"/>
      <w:marLeft w:val="0"/>
      <w:marRight w:val="0"/>
      <w:marTop w:val="0"/>
      <w:marBottom w:val="0"/>
      <w:divBdr>
        <w:top w:val="none" w:sz="0" w:space="0" w:color="auto"/>
        <w:left w:val="none" w:sz="0" w:space="0" w:color="auto"/>
        <w:bottom w:val="none" w:sz="0" w:space="0" w:color="auto"/>
        <w:right w:val="none" w:sz="0" w:space="0" w:color="auto"/>
      </w:divBdr>
    </w:div>
    <w:div w:id="793523357">
      <w:bodyDiv w:val="1"/>
      <w:marLeft w:val="0"/>
      <w:marRight w:val="0"/>
      <w:marTop w:val="0"/>
      <w:marBottom w:val="0"/>
      <w:divBdr>
        <w:top w:val="none" w:sz="0" w:space="0" w:color="auto"/>
        <w:left w:val="none" w:sz="0" w:space="0" w:color="auto"/>
        <w:bottom w:val="none" w:sz="0" w:space="0" w:color="auto"/>
        <w:right w:val="none" w:sz="0" w:space="0" w:color="auto"/>
      </w:divBdr>
    </w:div>
    <w:div w:id="794984173">
      <w:bodyDiv w:val="1"/>
      <w:marLeft w:val="0"/>
      <w:marRight w:val="0"/>
      <w:marTop w:val="0"/>
      <w:marBottom w:val="0"/>
      <w:divBdr>
        <w:top w:val="none" w:sz="0" w:space="0" w:color="auto"/>
        <w:left w:val="none" w:sz="0" w:space="0" w:color="auto"/>
        <w:bottom w:val="none" w:sz="0" w:space="0" w:color="auto"/>
        <w:right w:val="none" w:sz="0" w:space="0" w:color="auto"/>
      </w:divBdr>
    </w:div>
    <w:div w:id="800996641">
      <w:bodyDiv w:val="1"/>
      <w:marLeft w:val="0"/>
      <w:marRight w:val="0"/>
      <w:marTop w:val="0"/>
      <w:marBottom w:val="0"/>
      <w:divBdr>
        <w:top w:val="none" w:sz="0" w:space="0" w:color="auto"/>
        <w:left w:val="none" w:sz="0" w:space="0" w:color="auto"/>
        <w:bottom w:val="none" w:sz="0" w:space="0" w:color="auto"/>
        <w:right w:val="none" w:sz="0" w:space="0" w:color="auto"/>
      </w:divBdr>
    </w:div>
    <w:div w:id="810902406">
      <w:bodyDiv w:val="1"/>
      <w:marLeft w:val="0"/>
      <w:marRight w:val="0"/>
      <w:marTop w:val="0"/>
      <w:marBottom w:val="0"/>
      <w:divBdr>
        <w:top w:val="none" w:sz="0" w:space="0" w:color="auto"/>
        <w:left w:val="none" w:sz="0" w:space="0" w:color="auto"/>
        <w:bottom w:val="none" w:sz="0" w:space="0" w:color="auto"/>
        <w:right w:val="none" w:sz="0" w:space="0" w:color="auto"/>
      </w:divBdr>
    </w:div>
    <w:div w:id="813251588">
      <w:bodyDiv w:val="1"/>
      <w:marLeft w:val="0"/>
      <w:marRight w:val="0"/>
      <w:marTop w:val="0"/>
      <w:marBottom w:val="0"/>
      <w:divBdr>
        <w:top w:val="none" w:sz="0" w:space="0" w:color="auto"/>
        <w:left w:val="none" w:sz="0" w:space="0" w:color="auto"/>
        <w:bottom w:val="none" w:sz="0" w:space="0" w:color="auto"/>
        <w:right w:val="none" w:sz="0" w:space="0" w:color="auto"/>
      </w:divBdr>
    </w:div>
    <w:div w:id="818301762">
      <w:bodyDiv w:val="1"/>
      <w:marLeft w:val="0"/>
      <w:marRight w:val="0"/>
      <w:marTop w:val="0"/>
      <w:marBottom w:val="0"/>
      <w:divBdr>
        <w:top w:val="none" w:sz="0" w:space="0" w:color="auto"/>
        <w:left w:val="none" w:sz="0" w:space="0" w:color="auto"/>
        <w:bottom w:val="none" w:sz="0" w:space="0" w:color="auto"/>
        <w:right w:val="none" w:sz="0" w:space="0" w:color="auto"/>
      </w:divBdr>
    </w:div>
    <w:div w:id="818305454">
      <w:bodyDiv w:val="1"/>
      <w:marLeft w:val="0"/>
      <w:marRight w:val="0"/>
      <w:marTop w:val="0"/>
      <w:marBottom w:val="0"/>
      <w:divBdr>
        <w:top w:val="none" w:sz="0" w:space="0" w:color="auto"/>
        <w:left w:val="none" w:sz="0" w:space="0" w:color="auto"/>
        <w:bottom w:val="none" w:sz="0" w:space="0" w:color="auto"/>
        <w:right w:val="none" w:sz="0" w:space="0" w:color="auto"/>
      </w:divBdr>
    </w:div>
    <w:div w:id="825051960">
      <w:bodyDiv w:val="1"/>
      <w:marLeft w:val="0"/>
      <w:marRight w:val="0"/>
      <w:marTop w:val="0"/>
      <w:marBottom w:val="0"/>
      <w:divBdr>
        <w:top w:val="none" w:sz="0" w:space="0" w:color="auto"/>
        <w:left w:val="none" w:sz="0" w:space="0" w:color="auto"/>
        <w:bottom w:val="none" w:sz="0" w:space="0" w:color="auto"/>
        <w:right w:val="none" w:sz="0" w:space="0" w:color="auto"/>
      </w:divBdr>
    </w:div>
    <w:div w:id="835340666">
      <w:bodyDiv w:val="1"/>
      <w:marLeft w:val="0"/>
      <w:marRight w:val="0"/>
      <w:marTop w:val="0"/>
      <w:marBottom w:val="0"/>
      <w:divBdr>
        <w:top w:val="none" w:sz="0" w:space="0" w:color="auto"/>
        <w:left w:val="none" w:sz="0" w:space="0" w:color="auto"/>
        <w:bottom w:val="none" w:sz="0" w:space="0" w:color="auto"/>
        <w:right w:val="none" w:sz="0" w:space="0" w:color="auto"/>
      </w:divBdr>
    </w:div>
    <w:div w:id="851260820">
      <w:bodyDiv w:val="1"/>
      <w:marLeft w:val="0"/>
      <w:marRight w:val="0"/>
      <w:marTop w:val="0"/>
      <w:marBottom w:val="0"/>
      <w:divBdr>
        <w:top w:val="none" w:sz="0" w:space="0" w:color="auto"/>
        <w:left w:val="none" w:sz="0" w:space="0" w:color="auto"/>
        <w:bottom w:val="none" w:sz="0" w:space="0" w:color="auto"/>
        <w:right w:val="none" w:sz="0" w:space="0" w:color="auto"/>
      </w:divBdr>
    </w:div>
    <w:div w:id="853687280">
      <w:bodyDiv w:val="1"/>
      <w:marLeft w:val="0"/>
      <w:marRight w:val="0"/>
      <w:marTop w:val="0"/>
      <w:marBottom w:val="0"/>
      <w:divBdr>
        <w:top w:val="none" w:sz="0" w:space="0" w:color="auto"/>
        <w:left w:val="none" w:sz="0" w:space="0" w:color="auto"/>
        <w:bottom w:val="none" w:sz="0" w:space="0" w:color="auto"/>
        <w:right w:val="none" w:sz="0" w:space="0" w:color="auto"/>
      </w:divBdr>
    </w:div>
    <w:div w:id="868226823">
      <w:bodyDiv w:val="1"/>
      <w:marLeft w:val="0"/>
      <w:marRight w:val="0"/>
      <w:marTop w:val="0"/>
      <w:marBottom w:val="0"/>
      <w:divBdr>
        <w:top w:val="none" w:sz="0" w:space="0" w:color="auto"/>
        <w:left w:val="none" w:sz="0" w:space="0" w:color="auto"/>
        <w:bottom w:val="none" w:sz="0" w:space="0" w:color="auto"/>
        <w:right w:val="none" w:sz="0" w:space="0" w:color="auto"/>
      </w:divBdr>
    </w:div>
    <w:div w:id="870075841">
      <w:bodyDiv w:val="1"/>
      <w:marLeft w:val="0"/>
      <w:marRight w:val="0"/>
      <w:marTop w:val="0"/>
      <w:marBottom w:val="0"/>
      <w:divBdr>
        <w:top w:val="none" w:sz="0" w:space="0" w:color="auto"/>
        <w:left w:val="none" w:sz="0" w:space="0" w:color="auto"/>
        <w:bottom w:val="none" w:sz="0" w:space="0" w:color="auto"/>
        <w:right w:val="none" w:sz="0" w:space="0" w:color="auto"/>
      </w:divBdr>
    </w:div>
    <w:div w:id="8977816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826">
          <w:marLeft w:val="0"/>
          <w:marRight w:val="0"/>
          <w:marTop w:val="0"/>
          <w:marBottom w:val="0"/>
          <w:divBdr>
            <w:top w:val="none" w:sz="0" w:space="0" w:color="auto"/>
            <w:left w:val="none" w:sz="0" w:space="0" w:color="auto"/>
            <w:bottom w:val="none" w:sz="0" w:space="0" w:color="auto"/>
            <w:right w:val="none" w:sz="0" w:space="0" w:color="auto"/>
          </w:divBdr>
          <w:divsChild>
            <w:div w:id="240910466">
              <w:marLeft w:val="0"/>
              <w:marRight w:val="0"/>
              <w:marTop w:val="0"/>
              <w:marBottom w:val="0"/>
              <w:divBdr>
                <w:top w:val="none" w:sz="0" w:space="0" w:color="auto"/>
                <w:left w:val="none" w:sz="0" w:space="0" w:color="auto"/>
                <w:bottom w:val="none" w:sz="0" w:space="0" w:color="auto"/>
                <w:right w:val="none" w:sz="0" w:space="0" w:color="auto"/>
              </w:divBdr>
            </w:div>
            <w:div w:id="294222614">
              <w:marLeft w:val="0"/>
              <w:marRight w:val="0"/>
              <w:marTop w:val="0"/>
              <w:marBottom w:val="0"/>
              <w:divBdr>
                <w:top w:val="none" w:sz="0" w:space="0" w:color="auto"/>
                <w:left w:val="none" w:sz="0" w:space="0" w:color="auto"/>
                <w:bottom w:val="none" w:sz="0" w:space="0" w:color="auto"/>
                <w:right w:val="none" w:sz="0" w:space="0" w:color="auto"/>
              </w:divBdr>
            </w:div>
            <w:div w:id="320622969">
              <w:marLeft w:val="0"/>
              <w:marRight w:val="0"/>
              <w:marTop w:val="0"/>
              <w:marBottom w:val="0"/>
              <w:divBdr>
                <w:top w:val="none" w:sz="0" w:space="0" w:color="auto"/>
                <w:left w:val="none" w:sz="0" w:space="0" w:color="auto"/>
                <w:bottom w:val="none" w:sz="0" w:space="0" w:color="auto"/>
                <w:right w:val="none" w:sz="0" w:space="0" w:color="auto"/>
              </w:divBdr>
            </w:div>
            <w:div w:id="721171856">
              <w:marLeft w:val="0"/>
              <w:marRight w:val="0"/>
              <w:marTop w:val="0"/>
              <w:marBottom w:val="0"/>
              <w:divBdr>
                <w:top w:val="none" w:sz="0" w:space="0" w:color="auto"/>
                <w:left w:val="none" w:sz="0" w:space="0" w:color="auto"/>
                <w:bottom w:val="none" w:sz="0" w:space="0" w:color="auto"/>
                <w:right w:val="none" w:sz="0" w:space="0" w:color="auto"/>
              </w:divBdr>
            </w:div>
            <w:div w:id="795872686">
              <w:marLeft w:val="0"/>
              <w:marRight w:val="0"/>
              <w:marTop w:val="0"/>
              <w:marBottom w:val="0"/>
              <w:divBdr>
                <w:top w:val="none" w:sz="0" w:space="0" w:color="auto"/>
                <w:left w:val="none" w:sz="0" w:space="0" w:color="auto"/>
                <w:bottom w:val="none" w:sz="0" w:space="0" w:color="auto"/>
                <w:right w:val="none" w:sz="0" w:space="0" w:color="auto"/>
              </w:divBdr>
            </w:div>
            <w:div w:id="1169951874">
              <w:marLeft w:val="0"/>
              <w:marRight w:val="0"/>
              <w:marTop w:val="0"/>
              <w:marBottom w:val="0"/>
              <w:divBdr>
                <w:top w:val="none" w:sz="0" w:space="0" w:color="auto"/>
                <w:left w:val="none" w:sz="0" w:space="0" w:color="auto"/>
                <w:bottom w:val="none" w:sz="0" w:space="0" w:color="auto"/>
                <w:right w:val="none" w:sz="0" w:space="0" w:color="auto"/>
              </w:divBdr>
            </w:div>
            <w:div w:id="1447231852">
              <w:marLeft w:val="0"/>
              <w:marRight w:val="0"/>
              <w:marTop w:val="0"/>
              <w:marBottom w:val="0"/>
              <w:divBdr>
                <w:top w:val="none" w:sz="0" w:space="0" w:color="auto"/>
                <w:left w:val="none" w:sz="0" w:space="0" w:color="auto"/>
                <w:bottom w:val="none" w:sz="0" w:space="0" w:color="auto"/>
                <w:right w:val="none" w:sz="0" w:space="0" w:color="auto"/>
              </w:divBdr>
            </w:div>
            <w:div w:id="1625110926">
              <w:marLeft w:val="0"/>
              <w:marRight w:val="0"/>
              <w:marTop w:val="0"/>
              <w:marBottom w:val="0"/>
              <w:divBdr>
                <w:top w:val="none" w:sz="0" w:space="0" w:color="auto"/>
                <w:left w:val="none" w:sz="0" w:space="0" w:color="auto"/>
                <w:bottom w:val="none" w:sz="0" w:space="0" w:color="auto"/>
                <w:right w:val="none" w:sz="0" w:space="0" w:color="auto"/>
              </w:divBdr>
            </w:div>
            <w:div w:id="177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8192">
      <w:bodyDiv w:val="1"/>
      <w:marLeft w:val="0"/>
      <w:marRight w:val="0"/>
      <w:marTop w:val="0"/>
      <w:marBottom w:val="0"/>
      <w:divBdr>
        <w:top w:val="none" w:sz="0" w:space="0" w:color="auto"/>
        <w:left w:val="none" w:sz="0" w:space="0" w:color="auto"/>
        <w:bottom w:val="none" w:sz="0" w:space="0" w:color="auto"/>
        <w:right w:val="none" w:sz="0" w:space="0" w:color="auto"/>
      </w:divBdr>
    </w:div>
    <w:div w:id="912466201">
      <w:bodyDiv w:val="1"/>
      <w:marLeft w:val="0"/>
      <w:marRight w:val="0"/>
      <w:marTop w:val="0"/>
      <w:marBottom w:val="0"/>
      <w:divBdr>
        <w:top w:val="none" w:sz="0" w:space="0" w:color="auto"/>
        <w:left w:val="none" w:sz="0" w:space="0" w:color="auto"/>
        <w:bottom w:val="none" w:sz="0" w:space="0" w:color="auto"/>
        <w:right w:val="none" w:sz="0" w:space="0" w:color="auto"/>
      </w:divBdr>
    </w:div>
    <w:div w:id="915626561">
      <w:bodyDiv w:val="1"/>
      <w:marLeft w:val="0"/>
      <w:marRight w:val="0"/>
      <w:marTop w:val="0"/>
      <w:marBottom w:val="0"/>
      <w:divBdr>
        <w:top w:val="none" w:sz="0" w:space="0" w:color="auto"/>
        <w:left w:val="none" w:sz="0" w:space="0" w:color="auto"/>
        <w:bottom w:val="none" w:sz="0" w:space="0" w:color="auto"/>
        <w:right w:val="none" w:sz="0" w:space="0" w:color="auto"/>
      </w:divBdr>
    </w:div>
    <w:div w:id="925577889">
      <w:bodyDiv w:val="1"/>
      <w:marLeft w:val="0"/>
      <w:marRight w:val="0"/>
      <w:marTop w:val="0"/>
      <w:marBottom w:val="0"/>
      <w:divBdr>
        <w:top w:val="none" w:sz="0" w:space="0" w:color="auto"/>
        <w:left w:val="none" w:sz="0" w:space="0" w:color="auto"/>
        <w:bottom w:val="none" w:sz="0" w:space="0" w:color="auto"/>
        <w:right w:val="none" w:sz="0" w:space="0" w:color="auto"/>
      </w:divBdr>
    </w:div>
    <w:div w:id="958803896">
      <w:bodyDiv w:val="1"/>
      <w:marLeft w:val="0"/>
      <w:marRight w:val="0"/>
      <w:marTop w:val="0"/>
      <w:marBottom w:val="0"/>
      <w:divBdr>
        <w:top w:val="none" w:sz="0" w:space="0" w:color="auto"/>
        <w:left w:val="none" w:sz="0" w:space="0" w:color="auto"/>
        <w:bottom w:val="none" w:sz="0" w:space="0" w:color="auto"/>
        <w:right w:val="none" w:sz="0" w:space="0" w:color="auto"/>
      </w:divBdr>
    </w:div>
    <w:div w:id="959536582">
      <w:bodyDiv w:val="1"/>
      <w:marLeft w:val="0"/>
      <w:marRight w:val="0"/>
      <w:marTop w:val="0"/>
      <w:marBottom w:val="0"/>
      <w:divBdr>
        <w:top w:val="none" w:sz="0" w:space="0" w:color="auto"/>
        <w:left w:val="none" w:sz="0" w:space="0" w:color="auto"/>
        <w:bottom w:val="none" w:sz="0" w:space="0" w:color="auto"/>
        <w:right w:val="none" w:sz="0" w:space="0" w:color="auto"/>
      </w:divBdr>
    </w:div>
    <w:div w:id="975599741">
      <w:bodyDiv w:val="1"/>
      <w:marLeft w:val="0"/>
      <w:marRight w:val="0"/>
      <w:marTop w:val="0"/>
      <w:marBottom w:val="0"/>
      <w:divBdr>
        <w:top w:val="none" w:sz="0" w:space="0" w:color="auto"/>
        <w:left w:val="none" w:sz="0" w:space="0" w:color="auto"/>
        <w:bottom w:val="none" w:sz="0" w:space="0" w:color="auto"/>
        <w:right w:val="none" w:sz="0" w:space="0" w:color="auto"/>
      </w:divBdr>
    </w:div>
    <w:div w:id="975723409">
      <w:bodyDiv w:val="1"/>
      <w:marLeft w:val="0"/>
      <w:marRight w:val="0"/>
      <w:marTop w:val="0"/>
      <w:marBottom w:val="0"/>
      <w:divBdr>
        <w:top w:val="none" w:sz="0" w:space="0" w:color="auto"/>
        <w:left w:val="none" w:sz="0" w:space="0" w:color="auto"/>
        <w:bottom w:val="none" w:sz="0" w:space="0" w:color="auto"/>
        <w:right w:val="none" w:sz="0" w:space="0" w:color="auto"/>
      </w:divBdr>
    </w:div>
    <w:div w:id="980426394">
      <w:bodyDiv w:val="1"/>
      <w:marLeft w:val="0"/>
      <w:marRight w:val="0"/>
      <w:marTop w:val="0"/>
      <w:marBottom w:val="0"/>
      <w:divBdr>
        <w:top w:val="none" w:sz="0" w:space="0" w:color="auto"/>
        <w:left w:val="none" w:sz="0" w:space="0" w:color="auto"/>
        <w:bottom w:val="none" w:sz="0" w:space="0" w:color="auto"/>
        <w:right w:val="none" w:sz="0" w:space="0" w:color="auto"/>
      </w:divBdr>
    </w:div>
    <w:div w:id="998271980">
      <w:bodyDiv w:val="1"/>
      <w:marLeft w:val="0"/>
      <w:marRight w:val="0"/>
      <w:marTop w:val="0"/>
      <w:marBottom w:val="0"/>
      <w:divBdr>
        <w:top w:val="none" w:sz="0" w:space="0" w:color="auto"/>
        <w:left w:val="none" w:sz="0" w:space="0" w:color="auto"/>
        <w:bottom w:val="none" w:sz="0" w:space="0" w:color="auto"/>
        <w:right w:val="none" w:sz="0" w:space="0" w:color="auto"/>
      </w:divBdr>
    </w:div>
    <w:div w:id="1001464529">
      <w:bodyDiv w:val="1"/>
      <w:marLeft w:val="0"/>
      <w:marRight w:val="0"/>
      <w:marTop w:val="0"/>
      <w:marBottom w:val="0"/>
      <w:divBdr>
        <w:top w:val="none" w:sz="0" w:space="0" w:color="auto"/>
        <w:left w:val="none" w:sz="0" w:space="0" w:color="auto"/>
        <w:bottom w:val="none" w:sz="0" w:space="0" w:color="auto"/>
        <w:right w:val="none" w:sz="0" w:space="0" w:color="auto"/>
      </w:divBdr>
    </w:div>
    <w:div w:id="1007101038">
      <w:bodyDiv w:val="1"/>
      <w:marLeft w:val="0"/>
      <w:marRight w:val="0"/>
      <w:marTop w:val="0"/>
      <w:marBottom w:val="0"/>
      <w:divBdr>
        <w:top w:val="none" w:sz="0" w:space="0" w:color="auto"/>
        <w:left w:val="none" w:sz="0" w:space="0" w:color="auto"/>
        <w:bottom w:val="none" w:sz="0" w:space="0" w:color="auto"/>
        <w:right w:val="none" w:sz="0" w:space="0" w:color="auto"/>
      </w:divBdr>
    </w:div>
    <w:div w:id="1012220915">
      <w:bodyDiv w:val="1"/>
      <w:marLeft w:val="0"/>
      <w:marRight w:val="0"/>
      <w:marTop w:val="0"/>
      <w:marBottom w:val="0"/>
      <w:divBdr>
        <w:top w:val="none" w:sz="0" w:space="0" w:color="auto"/>
        <w:left w:val="none" w:sz="0" w:space="0" w:color="auto"/>
        <w:bottom w:val="none" w:sz="0" w:space="0" w:color="auto"/>
        <w:right w:val="none" w:sz="0" w:space="0" w:color="auto"/>
      </w:divBdr>
    </w:div>
    <w:div w:id="1019964497">
      <w:bodyDiv w:val="1"/>
      <w:marLeft w:val="0"/>
      <w:marRight w:val="0"/>
      <w:marTop w:val="0"/>
      <w:marBottom w:val="0"/>
      <w:divBdr>
        <w:top w:val="none" w:sz="0" w:space="0" w:color="auto"/>
        <w:left w:val="none" w:sz="0" w:space="0" w:color="auto"/>
        <w:bottom w:val="none" w:sz="0" w:space="0" w:color="auto"/>
        <w:right w:val="none" w:sz="0" w:space="0" w:color="auto"/>
      </w:divBdr>
    </w:div>
    <w:div w:id="1027490423">
      <w:bodyDiv w:val="1"/>
      <w:marLeft w:val="0"/>
      <w:marRight w:val="0"/>
      <w:marTop w:val="0"/>
      <w:marBottom w:val="0"/>
      <w:divBdr>
        <w:top w:val="none" w:sz="0" w:space="0" w:color="auto"/>
        <w:left w:val="none" w:sz="0" w:space="0" w:color="auto"/>
        <w:bottom w:val="none" w:sz="0" w:space="0" w:color="auto"/>
        <w:right w:val="none" w:sz="0" w:space="0" w:color="auto"/>
      </w:divBdr>
    </w:div>
    <w:div w:id="1030453508">
      <w:bodyDiv w:val="1"/>
      <w:marLeft w:val="0"/>
      <w:marRight w:val="0"/>
      <w:marTop w:val="0"/>
      <w:marBottom w:val="0"/>
      <w:divBdr>
        <w:top w:val="none" w:sz="0" w:space="0" w:color="auto"/>
        <w:left w:val="none" w:sz="0" w:space="0" w:color="auto"/>
        <w:bottom w:val="none" w:sz="0" w:space="0" w:color="auto"/>
        <w:right w:val="none" w:sz="0" w:space="0" w:color="auto"/>
      </w:divBdr>
    </w:div>
    <w:div w:id="1032875063">
      <w:bodyDiv w:val="1"/>
      <w:marLeft w:val="0"/>
      <w:marRight w:val="0"/>
      <w:marTop w:val="0"/>
      <w:marBottom w:val="0"/>
      <w:divBdr>
        <w:top w:val="none" w:sz="0" w:space="0" w:color="auto"/>
        <w:left w:val="none" w:sz="0" w:space="0" w:color="auto"/>
        <w:bottom w:val="none" w:sz="0" w:space="0" w:color="auto"/>
        <w:right w:val="none" w:sz="0" w:space="0" w:color="auto"/>
      </w:divBdr>
    </w:div>
    <w:div w:id="1037004122">
      <w:bodyDiv w:val="1"/>
      <w:marLeft w:val="0"/>
      <w:marRight w:val="0"/>
      <w:marTop w:val="0"/>
      <w:marBottom w:val="0"/>
      <w:divBdr>
        <w:top w:val="none" w:sz="0" w:space="0" w:color="auto"/>
        <w:left w:val="none" w:sz="0" w:space="0" w:color="auto"/>
        <w:bottom w:val="none" w:sz="0" w:space="0" w:color="auto"/>
        <w:right w:val="none" w:sz="0" w:space="0" w:color="auto"/>
      </w:divBdr>
    </w:div>
    <w:div w:id="1047490186">
      <w:bodyDiv w:val="1"/>
      <w:marLeft w:val="0"/>
      <w:marRight w:val="0"/>
      <w:marTop w:val="0"/>
      <w:marBottom w:val="0"/>
      <w:divBdr>
        <w:top w:val="none" w:sz="0" w:space="0" w:color="auto"/>
        <w:left w:val="none" w:sz="0" w:space="0" w:color="auto"/>
        <w:bottom w:val="none" w:sz="0" w:space="0" w:color="auto"/>
        <w:right w:val="none" w:sz="0" w:space="0" w:color="auto"/>
      </w:divBdr>
    </w:div>
    <w:div w:id="1053886274">
      <w:bodyDiv w:val="1"/>
      <w:marLeft w:val="0"/>
      <w:marRight w:val="0"/>
      <w:marTop w:val="0"/>
      <w:marBottom w:val="0"/>
      <w:divBdr>
        <w:top w:val="none" w:sz="0" w:space="0" w:color="auto"/>
        <w:left w:val="none" w:sz="0" w:space="0" w:color="auto"/>
        <w:bottom w:val="none" w:sz="0" w:space="0" w:color="auto"/>
        <w:right w:val="none" w:sz="0" w:space="0" w:color="auto"/>
      </w:divBdr>
    </w:div>
    <w:div w:id="1061292809">
      <w:bodyDiv w:val="1"/>
      <w:marLeft w:val="0"/>
      <w:marRight w:val="0"/>
      <w:marTop w:val="0"/>
      <w:marBottom w:val="0"/>
      <w:divBdr>
        <w:top w:val="none" w:sz="0" w:space="0" w:color="auto"/>
        <w:left w:val="none" w:sz="0" w:space="0" w:color="auto"/>
        <w:bottom w:val="none" w:sz="0" w:space="0" w:color="auto"/>
        <w:right w:val="none" w:sz="0" w:space="0" w:color="auto"/>
      </w:divBdr>
    </w:div>
    <w:div w:id="1077242112">
      <w:bodyDiv w:val="1"/>
      <w:marLeft w:val="0"/>
      <w:marRight w:val="0"/>
      <w:marTop w:val="0"/>
      <w:marBottom w:val="0"/>
      <w:divBdr>
        <w:top w:val="none" w:sz="0" w:space="0" w:color="auto"/>
        <w:left w:val="none" w:sz="0" w:space="0" w:color="auto"/>
        <w:bottom w:val="none" w:sz="0" w:space="0" w:color="auto"/>
        <w:right w:val="none" w:sz="0" w:space="0" w:color="auto"/>
      </w:divBdr>
    </w:div>
    <w:div w:id="1081755464">
      <w:bodyDiv w:val="1"/>
      <w:marLeft w:val="0"/>
      <w:marRight w:val="0"/>
      <w:marTop w:val="0"/>
      <w:marBottom w:val="0"/>
      <w:divBdr>
        <w:top w:val="none" w:sz="0" w:space="0" w:color="auto"/>
        <w:left w:val="none" w:sz="0" w:space="0" w:color="auto"/>
        <w:bottom w:val="none" w:sz="0" w:space="0" w:color="auto"/>
        <w:right w:val="none" w:sz="0" w:space="0" w:color="auto"/>
      </w:divBdr>
    </w:div>
    <w:div w:id="1082676694">
      <w:bodyDiv w:val="1"/>
      <w:marLeft w:val="0"/>
      <w:marRight w:val="0"/>
      <w:marTop w:val="0"/>
      <w:marBottom w:val="0"/>
      <w:divBdr>
        <w:top w:val="none" w:sz="0" w:space="0" w:color="auto"/>
        <w:left w:val="none" w:sz="0" w:space="0" w:color="auto"/>
        <w:bottom w:val="none" w:sz="0" w:space="0" w:color="auto"/>
        <w:right w:val="none" w:sz="0" w:space="0" w:color="auto"/>
      </w:divBdr>
    </w:div>
    <w:div w:id="1095595871">
      <w:bodyDiv w:val="1"/>
      <w:marLeft w:val="0"/>
      <w:marRight w:val="0"/>
      <w:marTop w:val="0"/>
      <w:marBottom w:val="0"/>
      <w:divBdr>
        <w:top w:val="none" w:sz="0" w:space="0" w:color="auto"/>
        <w:left w:val="none" w:sz="0" w:space="0" w:color="auto"/>
        <w:bottom w:val="none" w:sz="0" w:space="0" w:color="auto"/>
        <w:right w:val="none" w:sz="0" w:space="0" w:color="auto"/>
      </w:divBdr>
    </w:div>
    <w:div w:id="1099133617">
      <w:bodyDiv w:val="1"/>
      <w:marLeft w:val="0"/>
      <w:marRight w:val="0"/>
      <w:marTop w:val="0"/>
      <w:marBottom w:val="0"/>
      <w:divBdr>
        <w:top w:val="none" w:sz="0" w:space="0" w:color="auto"/>
        <w:left w:val="none" w:sz="0" w:space="0" w:color="auto"/>
        <w:bottom w:val="none" w:sz="0" w:space="0" w:color="auto"/>
        <w:right w:val="none" w:sz="0" w:space="0" w:color="auto"/>
      </w:divBdr>
      <w:divsChild>
        <w:div w:id="1801260858">
          <w:marLeft w:val="0"/>
          <w:marRight w:val="0"/>
          <w:marTop w:val="0"/>
          <w:marBottom w:val="0"/>
          <w:divBdr>
            <w:top w:val="none" w:sz="0" w:space="0" w:color="auto"/>
            <w:left w:val="none" w:sz="0" w:space="0" w:color="auto"/>
            <w:bottom w:val="none" w:sz="0" w:space="0" w:color="auto"/>
            <w:right w:val="none" w:sz="0" w:space="0" w:color="auto"/>
          </w:divBdr>
          <w:divsChild>
            <w:div w:id="2074430716">
              <w:marLeft w:val="0"/>
              <w:marRight w:val="0"/>
              <w:marTop w:val="0"/>
              <w:marBottom w:val="0"/>
              <w:divBdr>
                <w:top w:val="none" w:sz="0" w:space="0" w:color="auto"/>
                <w:left w:val="none" w:sz="0" w:space="0" w:color="auto"/>
                <w:bottom w:val="none" w:sz="0" w:space="0" w:color="auto"/>
                <w:right w:val="none" w:sz="0" w:space="0" w:color="auto"/>
              </w:divBdr>
              <w:divsChild>
                <w:div w:id="1901941012">
                  <w:marLeft w:val="0"/>
                  <w:marRight w:val="0"/>
                  <w:marTop w:val="0"/>
                  <w:marBottom w:val="0"/>
                  <w:divBdr>
                    <w:top w:val="none" w:sz="0" w:space="0" w:color="auto"/>
                    <w:left w:val="none" w:sz="0" w:space="0" w:color="auto"/>
                    <w:bottom w:val="none" w:sz="0" w:space="0" w:color="auto"/>
                    <w:right w:val="none" w:sz="0" w:space="0" w:color="auto"/>
                  </w:divBdr>
                  <w:divsChild>
                    <w:div w:id="5116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071671">
      <w:bodyDiv w:val="1"/>
      <w:marLeft w:val="0"/>
      <w:marRight w:val="0"/>
      <w:marTop w:val="0"/>
      <w:marBottom w:val="0"/>
      <w:divBdr>
        <w:top w:val="none" w:sz="0" w:space="0" w:color="auto"/>
        <w:left w:val="none" w:sz="0" w:space="0" w:color="auto"/>
        <w:bottom w:val="none" w:sz="0" w:space="0" w:color="auto"/>
        <w:right w:val="none" w:sz="0" w:space="0" w:color="auto"/>
      </w:divBdr>
    </w:div>
    <w:div w:id="1114402205">
      <w:bodyDiv w:val="1"/>
      <w:marLeft w:val="0"/>
      <w:marRight w:val="0"/>
      <w:marTop w:val="0"/>
      <w:marBottom w:val="0"/>
      <w:divBdr>
        <w:top w:val="none" w:sz="0" w:space="0" w:color="auto"/>
        <w:left w:val="none" w:sz="0" w:space="0" w:color="auto"/>
        <w:bottom w:val="none" w:sz="0" w:space="0" w:color="auto"/>
        <w:right w:val="none" w:sz="0" w:space="0" w:color="auto"/>
      </w:divBdr>
    </w:div>
    <w:div w:id="1119952132">
      <w:bodyDiv w:val="1"/>
      <w:marLeft w:val="0"/>
      <w:marRight w:val="0"/>
      <w:marTop w:val="0"/>
      <w:marBottom w:val="0"/>
      <w:divBdr>
        <w:top w:val="none" w:sz="0" w:space="0" w:color="auto"/>
        <w:left w:val="none" w:sz="0" w:space="0" w:color="auto"/>
        <w:bottom w:val="none" w:sz="0" w:space="0" w:color="auto"/>
        <w:right w:val="none" w:sz="0" w:space="0" w:color="auto"/>
      </w:divBdr>
      <w:divsChild>
        <w:div w:id="1742866174">
          <w:marLeft w:val="0"/>
          <w:marRight w:val="0"/>
          <w:marTop w:val="0"/>
          <w:marBottom w:val="0"/>
          <w:divBdr>
            <w:top w:val="none" w:sz="0" w:space="0" w:color="auto"/>
            <w:left w:val="none" w:sz="0" w:space="0" w:color="auto"/>
            <w:bottom w:val="none" w:sz="0" w:space="0" w:color="auto"/>
            <w:right w:val="none" w:sz="0" w:space="0" w:color="auto"/>
          </w:divBdr>
          <w:divsChild>
            <w:div w:id="423764730">
              <w:marLeft w:val="0"/>
              <w:marRight w:val="0"/>
              <w:marTop w:val="0"/>
              <w:marBottom w:val="0"/>
              <w:divBdr>
                <w:top w:val="none" w:sz="0" w:space="0" w:color="auto"/>
                <w:left w:val="none" w:sz="0" w:space="0" w:color="auto"/>
                <w:bottom w:val="none" w:sz="0" w:space="0" w:color="auto"/>
                <w:right w:val="none" w:sz="0" w:space="0" w:color="auto"/>
              </w:divBdr>
              <w:divsChild>
                <w:div w:id="287325002">
                  <w:marLeft w:val="0"/>
                  <w:marRight w:val="0"/>
                  <w:marTop w:val="0"/>
                  <w:marBottom w:val="0"/>
                  <w:divBdr>
                    <w:top w:val="none" w:sz="0" w:space="0" w:color="auto"/>
                    <w:left w:val="none" w:sz="0" w:space="0" w:color="auto"/>
                    <w:bottom w:val="none" w:sz="0" w:space="0" w:color="auto"/>
                    <w:right w:val="none" w:sz="0" w:space="0" w:color="auto"/>
                  </w:divBdr>
                  <w:divsChild>
                    <w:div w:id="2571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56572">
      <w:bodyDiv w:val="1"/>
      <w:marLeft w:val="0"/>
      <w:marRight w:val="0"/>
      <w:marTop w:val="0"/>
      <w:marBottom w:val="0"/>
      <w:divBdr>
        <w:top w:val="none" w:sz="0" w:space="0" w:color="auto"/>
        <w:left w:val="none" w:sz="0" w:space="0" w:color="auto"/>
        <w:bottom w:val="none" w:sz="0" w:space="0" w:color="auto"/>
        <w:right w:val="none" w:sz="0" w:space="0" w:color="auto"/>
      </w:divBdr>
    </w:div>
    <w:div w:id="1144851930">
      <w:bodyDiv w:val="1"/>
      <w:marLeft w:val="0"/>
      <w:marRight w:val="0"/>
      <w:marTop w:val="0"/>
      <w:marBottom w:val="0"/>
      <w:divBdr>
        <w:top w:val="none" w:sz="0" w:space="0" w:color="auto"/>
        <w:left w:val="none" w:sz="0" w:space="0" w:color="auto"/>
        <w:bottom w:val="none" w:sz="0" w:space="0" w:color="auto"/>
        <w:right w:val="none" w:sz="0" w:space="0" w:color="auto"/>
      </w:divBdr>
    </w:div>
    <w:div w:id="1150754452">
      <w:bodyDiv w:val="1"/>
      <w:marLeft w:val="0"/>
      <w:marRight w:val="0"/>
      <w:marTop w:val="0"/>
      <w:marBottom w:val="0"/>
      <w:divBdr>
        <w:top w:val="none" w:sz="0" w:space="0" w:color="auto"/>
        <w:left w:val="none" w:sz="0" w:space="0" w:color="auto"/>
        <w:bottom w:val="none" w:sz="0" w:space="0" w:color="auto"/>
        <w:right w:val="none" w:sz="0" w:space="0" w:color="auto"/>
      </w:divBdr>
    </w:div>
    <w:div w:id="1159468867">
      <w:bodyDiv w:val="1"/>
      <w:marLeft w:val="0"/>
      <w:marRight w:val="0"/>
      <w:marTop w:val="0"/>
      <w:marBottom w:val="0"/>
      <w:divBdr>
        <w:top w:val="none" w:sz="0" w:space="0" w:color="auto"/>
        <w:left w:val="none" w:sz="0" w:space="0" w:color="auto"/>
        <w:bottom w:val="none" w:sz="0" w:space="0" w:color="auto"/>
        <w:right w:val="none" w:sz="0" w:space="0" w:color="auto"/>
      </w:divBdr>
    </w:div>
    <w:div w:id="1166825339">
      <w:bodyDiv w:val="1"/>
      <w:marLeft w:val="0"/>
      <w:marRight w:val="0"/>
      <w:marTop w:val="0"/>
      <w:marBottom w:val="0"/>
      <w:divBdr>
        <w:top w:val="none" w:sz="0" w:space="0" w:color="auto"/>
        <w:left w:val="none" w:sz="0" w:space="0" w:color="auto"/>
        <w:bottom w:val="none" w:sz="0" w:space="0" w:color="auto"/>
        <w:right w:val="none" w:sz="0" w:space="0" w:color="auto"/>
      </w:divBdr>
    </w:div>
    <w:div w:id="1169639131">
      <w:bodyDiv w:val="1"/>
      <w:marLeft w:val="0"/>
      <w:marRight w:val="0"/>
      <w:marTop w:val="0"/>
      <w:marBottom w:val="0"/>
      <w:divBdr>
        <w:top w:val="none" w:sz="0" w:space="0" w:color="auto"/>
        <w:left w:val="none" w:sz="0" w:space="0" w:color="auto"/>
        <w:bottom w:val="none" w:sz="0" w:space="0" w:color="auto"/>
        <w:right w:val="none" w:sz="0" w:space="0" w:color="auto"/>
      </w:divBdr>
    </w:div>
    <w:div w:id="1173569869">
      <w:bodyDiv w:val="1"/>
      <w:marLeft w:val="0"/>
      <w:marRight w:val="0"/>
      <w:marTop w:val="0"/>
      <w:marBottom w:val="0"/>
      <w:divBdr>
        <w:top w:val="none" w:sz="0" w:space="0" w:color="auto"/>
        <w:left w:val="none" w:sz="0" w:space="0" w:color="auto"/>
        <w:bottom w:val="none" w:sz="0" w:space="0" w:color="auto"/>
        <w:right w:val="none" w:sz="0" w:space="0" w:color="auto"/>
      </w:divBdr>
    </w:div>
    <w:div w:id="1182550902">
      <w:bodyDiv w:val="1"/>
      <w:marLeft w:val="0"/>
      <w:marRight w:val="0"/>
      <w:marTop w:val="0"/>
      <w:marBottom w:val="0"/>
      <w:divBdr>
        <w:top w:val="none" w:sz="0" w:space="0" w:color="auto"/>
        <w:left w:val="none" w:sz="0" w:space="0" w:color="auto"/>
        <w:bottom w:val="none" w:sz="0" w:space="0" w:color="auto"/>
        <w:right w:val="none" w:sz="0" w:space="0" w:color="auto"/>
      </w:divBdr>
    </w:div>
    <w:div w:id="1193879684">
      <w:bodyDiv w:val="1"/>
      <w:marLeft w:val="0"/>
      <w:marRight w:val="0"/>
      <w:marTop w:val="0"/>
      <w:marBottom w:val="0"/>
      <w:divBdr>
        <w:top w:val="none" w:sz="0" w:space="0" w:color="auto"/>
        <w:left w:val="none" w:sz="0" w:space="0" w:color="auto"/>
        <w:bottom w:val="none" w:sz="0" w:space="0" w:color="auto"/>
        <w:right w:val="none" w:sz="0" w:space="0" w:color="auto"/>
      </w:divBdr>
    </w:div>
    <w:div w:id="1201821009">
      <w:bodyDiv w:val="1"/>
      <w:marLeft w:val="0"/>
      <w:marRight w:val="0"/>
      <w:marTop w:val="0"/>
      <w:marBottom w:val="0"/>
      <w:divBdr>
        <w:top w:val="none" w:sz="0" w:space="0" w:color="auto"/>
        <w:left w:val="none" w:sz="0" w:space="0" w:color="auto"/>
        <w:bottom w:val="none" w:sz="0" w:space="0" w:color="auto"/>
        <w:right w:val="none" w:sz="0" w:space="0" w:color="auto"/>
      </w:divBdr>
    </w:div>
    <w:div w:id="1207722274">
      <w:bodyDiv w:val="1"/>
      <w:marLeft w:val="0"/>
      <w:marRight w:val="0"/>
      <w:marTop w:val="0"/>
      <w:marBottom w:val="0"/>
      <w:divBdr>
        <w:top w:val="none" w:sz="0" w:space="0" w:color="auto"/>
        <w:left w:val="none" w:sz="0" w:space="0" w:color="auto"/>
        <w:bottom w:val="none" w:sz="0" w:space="0" w:color="auto"/>
        <w:right w:val="none" w:sz="0" w:space="0" w:color="auto"/>
      </w:divBdr>
    </w:div>
    <w:div w:id="1210454899">
      <w:bodyDiv w:val="1"/>
      <w:marLeft w:val="0"/>
      <w:marRight w:val="0"/>
      <w:marTop w:val="0"/>
      <w:marBottom w:val="0"/>
      <w:divBdr>
        <w:top w:val="none" w:sz="0" w:space="0" w:color="auto"/>
        <w:left w:val="none" w:sz="0" w:space="0" w:color="auto"/>
        <w:bottom w:val="none" w:sz="0" w:space="0" w:color="auto"/>
        <w:right w:val="none" w:sz="0" w:space="0" w:color="auto"/>
      </w:divBdr>
    </w:div>
    <w:div w:id="1235823987">
      <w:bodyDiv w:val="1"/>
      <w:marLeft w:val="0"/>
      <w:marRight w:val="0"/>
      <w:marTop w:val="0"/>
      <w:marBottom w:val="0"/>
      <w:divBdr>
        <w:top w:val="none" w:sz="0" w:space="0" w:color="auto"/>
        <w:left w:val="none" w:sz="0" w:space="0" w:color="auto"/>
        <w:bottom w:val="none" w:sz="0" w:space="0" w:color="auto"/>
        <w:right w:val="none" w:sz="0" w:space="0" w:color="auto"/>
      </w:divBdr>
    </w:div>
    <w:div w:id="1240362034">
      <w:bodyDiv w:val="1"/>
      <w:marLeft w:val="0"/>
      <w:marRight w:val="0"/>
      <w:marTop w:val="0"/>
      <w:marBottom w:val="0"/>
      <w:divBdr>
        <w:top w:val="none" w:sz="0" w:space="0" w:color="auto"/>
        <w:left w:val="none" w:sz="0" w:space="0" w:color="auto"/>
        <w:bottom w:val="none" w:sz="0" w:space="0" w:color="auto"/>
        <w:right w:val="none" w:sz="0" w:space="0" w:color="auto"/>
      </w:divBdr>
    </w:div>
    <w:div w:id="1248804965">
      <w:bodyDiv w:val="1"/>
      <w:marLeft w:val="0"/>
      <w:marRight w:val="0"/>
      <w:marTop w:val="0"/>
      <w:marBottom w:val="0"/>
      <w:divBdr>
        <w:top w:val="none" w:sz="0" w:space="0" w:color="auto"/>
        <w:left w:val="none" w:sz="0" w:space="0" w:color="auto"/>
        <w:bottom w:val="none" w:sz="0" w:space="0" w:color="auto"/>
        <w:right w:val="none" w:sz="0" w:space="0" w:color="auto"/>
      </w:divBdr>
    </w:div>
    <w:div w:id="1251507284">
      <w:bodyDiv w:val="1"/>
      <w:marLeft w:val="0"/>
      <w:marRight w:val="0"/>
      <w:marTop w:val="0"/>
      <w:marBottom w:val="0"/>
      <w:divBdr>
        <w:top w:val="none" w:sz="0" w:space="0" w:color="auto"/>
        <w:left w:val="none" w:sz="0" w:space="0" w:color="auto"/>
        <w:bottom w:val="none" w:sz="0" w:space="0" w:color="auto"/>
        <w:right w:val="none" w:sz="0" w:space="0" w:color="auto"/>
      </w:divBdr>
    </w:div>
    <w:div w:id="1256550340">
      <w:bodyDiv w:val="1"/>
      <w:marLeft w:val="0"/>
      <w:marRight w:val="0"/>
      <w:marTop w:val="0"/>
      <w:marBottom w:val="0"/>
      <w:divBdr>
        <w:top w:val="none" w:sz="0" w:space="0" w:color="auto"/>
        <w:left w:val="none" w:sz="0" w:space="0" w:color="auto"/>
        <w:bottom w:val="none" w:sz="0" w:space="0" w:color="auto"/>
        <w:right w:val="none" w:sz="0" w:space="0" w:color="auto"/>
      </w:divBdr>
    </w:div>
    <w:div w:id="1257329835">
      <w:bodyDiv w:val="1"/>
      <w:marLeft w:val="0"/>
      <w:marRight w:val="0"/>
      <w:marTop w:val="0"/>
      <w:marBottom w:val="0"/>
      <w:divBdr>
        <w:top w:val="none" w:sz="0" w:space="0" w:color="auto"/>
        <w:left w:val="none" w:sz="0" w:space="0" w:color="auto"/>
        <w:bottom w:val="none" w:sz="0" w:space="0" w:color="auto"/>
        <w:right w:val="none" w:sz="0" w:space="0" w:color="auto"/>
      </w:divBdr>
    </w:div>
    <w:div w:id="1258708283">
      <w:bodyDiv w:val="1"/>
      <w:marLeft w:val="0"/>
      <w:marRight w:val="0"/>
      <w:marTop w:val="0"/>
      <w:marBottom w:val="0"/>
      <w:divBdr>
        <w:top w:val="none" w:sz="0" w:space="0" w:color="auto"/>
        <w:left w:val="none" w:sz="0" w:space="0" w:color="auto"/>
        <w:bottom w:val="none" w:sz="0" w:space="0" w:color="auto"/>
        <w:right w:val="none" w:sz="0" w:space="0" w:color="auto"/>
      </w:divBdr>
    </w:div>
    <w:div w:id="1258753227">
      <w:bodyDiv w:val="1"/>
      <w:marLeft w:val="0"/>
      <w:marRight w:val="0"/>
      <w:marTop w:val="0"/>
      <w:marBottom w:val="0"/>
      <w:divBdr>
        <w:top w:val="none" w:sz="0" w:space="0" w:color="auto"/>
        <w:left w:val="none" w:sz="0" w:space="0" w:color="auto"/>
        <w:bottom w:val="none" w:sz="0" w:space="0" w:color="auto"/>
        <w:right w:val="none" w:sz="0" w:space="0" w:color="auto"/>
      </w:divBdr>
    </w:div>
    <w:div w:id="1261723384">
      <w:bodyDiv w:val="1"/>
      <w:marLeft w:val="0"/>
      <w:marRight w:val="0"/>
      <w:marTop w:val="0"/>
      <w:marBottom w:val="0"/>
      <w:divBdr>
        <w:top w:val="none" w:sz="0" w:space="0" w:color="auto"/>
        <w:left w:val="none" w:sz="0" w:space="0" w:color="auto"/>
        <w:bottom w:val="none" w:sz="0" w:space="0" w:color="auto"/>
        <w:right w:val="none" w:sz="0" w:space="0" w:color="auto"/>
      </w:divBdr>
    </w:div>
    <w:div w:id="1280185745">
      <w:bodyDiv w:val="1"/>
      <w:marLeft w:val="0"/>
      <w:marRight w:val="0"/>
      <w:marTop w:val="0"/>
      <w:marBottom w:val="0"/>
      <w:divBdr>
        <w:top w:val="none" w:sz="0" w:space="0" w:color="auto"/>
        <w:left w:val="none" w:sz="0" w:space="0" w:color="auto"/>
        <w:bottom w:val="none" w:sz="0" w:space="0" w:color="auto"/>
        <w:right w:val="none" w:sz="0" w:space="0" w:color="auto"/>
      </w:divBdr>
    </w:div>
    <w:div w:id="1289698511">
      <w:bodyDiv w:val="1"/>
      <w:marLeft w:val="0"/>
      <w:marRight w:val="0"/>
      <w:marTop w:val="0"/>
      <w:marBottom w:val="0"/>
      <w:divBdr>
        <w:top w:val="none" w:sz="0" w:space="0" w:color="auto"/>
        <w:left w:val="none" w:sz="0" w:space="0" w:color="auto"/>
        <w:bottom w:val="none" w:sz="0" w:space="0" w:color="auto"/>
        <w:right w:val="none" w:sz="0" w:space="0" w:color="auto"/>
      </w:divBdr>
    </w:div>
    <w:div w:id="1292201876">
      <w:bodyDiv w:val="1"/>
      <w:marLeft w:val="0"/>
      <w:marRight w:val="0"/>
      <w:marTop w:val="0"/>
      <w:marBottom w:val="0"/>
      <w:divBdr>
        <w:top w:val="none" w:sz="0" w:space="0" w:color="auto"/>
        <w:left w:val="none" w:sz="0" w:space="0" w:color="auto"/>
        <w:bottom w:val="none" w:sz="0" w:space="0" w:color="auto"/>
        <w:right w:val="none" w:sz="0" w:space="0" w:color="auto"/>
      </w:divBdr>
    </w:div>
    <w:div w:id="1299145062">
      <w:bodyDiv w:val="1"/>
      <w:marLeft w:val="0"/>
      <w:marRight w:val="0"/>
      <w:marTop w:val="0"/>
      <w:marBottom w:val="0"/>
      <w:divBdr>
        <w:top w:val="none" w:sz="0" w:space="0" w:color="auto"/>
        <w:left w:val="none" w:sz="0" w:space="0" w:color="auto"/>
        <w:bottom w:val="none" w:sz="0" w:space="0" w:color="auto"/>
        <w:right w:val="none" w:sz="0" w:space="0" w:color="auto"/>
      </w:divBdr>
    </w:div>
    <w:div w:id="1318806442">
      <w:bodyDiv w:val="1"/>
      <w:marLeft w:val="0"/>
      <w:marRight w:val="0"/>
      <w:marTop w:val="0"/>
      <w:marBottom w:val="0"/>
      <w:divBdr>
        <w:top w:val="none" w:sz="0" w:space="0" w:color="auto"/>
        <w:left w:val="none" w:sz="0" w:space="0" w:color="auto"/>
        <w:bottom w:val="none" w:sz="0" w:space="0" w:color="auto"/>
        <w:right w:val="none" w:sz="0" w:space="0" w:color="auto"/>
      </w:divBdr>
    </w:div>
    <w:div w:id="1319532708">
      <w:bodyDiv w:val="1"/>
      <w:marLeft w:val="0"/>
      <w:marRight w:val="0"/>
      <w:marTop w:val="0"/>
      <w:marBottom w:val="0"/>
      <w:divBdr>
        <w:top w:val="none" w:sz="0" w:space="0" w:color="auto"/>
        <w:left w:val="none" w:sz="0" w:space="0" w:color="auto"/>
        <w:bottom w:val="none" w:sz="0" w:space="0" w:color="auto"/>
        <w:right w:val="none" w:sz="0" w:space="0" w:color="auto"/>
      </w:divBdr>
    </w:div>
    <w:div w:id="1323316025">
      <w:bodyDiv w:val="1"/>
      <w:marLeft w:val="0"/>
      <w:marRight w:val="0"/>
      <w:marTop w:val="0"/>
      <w:marBottom w:val="0"/>
      <w:divBdr>
        <w:top w:val="none" w:sz="0" w:space="0" w:color="auto"/>
        <w:left w:val="none" w:sz="0" w:space="0" w:color="auto"/>
        <w:bottom w:val="none" w:sz="0" w:space="0" w:color="auto"/>
        <w:right w:val="none" w:sz="0" w:space="0" w:color="auto"/>
      </w:divBdr>
    </w:div>
    <w:div w:id="1323967702">
      <w:bodyDiv w:val="1"/>
      <w:marLeft w:val="0"/>
      <w:marRight w:val="0"/>
      <w:marTop w:val="0"/>
      <w:marBottom w:val="0"/>
      <w:divBdr>
        <w:top w:val="none" w:sz="0" w:space="0" w:color="auto"/>
        <w:left w:val="none" w:sz="0" w:space="0" w:color="auto"/>
        <w:bottom w:val="none" w:sz="0" w:space="0" w:color="auto"/>
        <w:right w:val="none" w:sz="0" w:space="0" w:color="auto"/>
      </w:divBdr>
    </w:div>
    <w:div w:id="1332489557">
      <w:bodyDiv w:val="1"/>
      <w:marLeft w:val="0"/>
      <w:marRight w:val="0"/>
      <w:marTop w:val="0"/>
      <w:marBottom w:val="0"/>
      <w:divBdr>
        <w:top w:val="none" w:sz="0" w:space="0" w:color="auto"/>
        <w:left w:val="none" w:sz="0" w:space="0" w:color="auto"/>
        <w:bottom w:val="none" w:sz="0" w:space="0" w:color="auto"/>
        <w:right w:val="none" w:sz="0" w:space="0" w:color="auto"/>
      </w:divBdr>
    </w:div>
    <w:div w:id="1339504686">
      <w:bodyDiv w:val="1"/>
      <w:marLeft w:val="0"/>
      <w:marRight w:val="0"/>
      <w:marTop w:val="0"/>
      <w:marBottom w:val="0"/>
      <w:divBdr>
        <w:top w:val="none" w:sz="0" w:space="0" w:color="auto"/>
        <w:left w:val="none" w:sz="0" w:space="0" w:color="auto"/>
        <w:bottom w:val="none" w:sz="0" w:space="0" w:color="auto"/>
        <w:right w:val="none" w:sz="0" w:space="0" w:color="auto"/>
      </w:divBdr>
    </w:div>
    <w:div w:id="1346513309">
      <w:bodyDiv w:val="1"/>
      <w:marLeft w:val="0"/>
      <w:marRight w:val="0"/>
      <w:marTop w:val="0"/>
      <w:marBottom w:val="0"/>
      <w:divBdr>
        <w:top w:val="none" w:sz="0" w:space="0" w:color="auto"/>
        <w:left w:val="none" w:sz="0" w:space="0" w:color="auto"/>
        <w:bottom w:val="none" w:sz="0" w:space="0" w:color="auto"/>
        <w:right w:val="none" w:sz="0" w:space="0" w:color="auto"/>
      </w:divBdr>
    </w:div>
    <w:div w:id="1349714058">
      <w:bodyDiv w:val="1"/>
      <w:marLeft w:val="0"/>
      <w:marRight w:val="0"/>
      <w:marTop w:val="0"/>
      <w:marBottom w:val="0"/>
      <w:divBdr>
        <w:top w:val="none" w:sz="0" w:space="0" w:color="auto"/>
        <w:left w:val="none" w:sz="0" w:space="0" w:color="auto"/>
        <w:bottom w:val="none" w:sz="0" w:space="0" w:color="auto"/>
        <w:right w:val="none" w:sz="0" w:space="0" w:color="auto"/>
      </w:divBdr>
    </w:div>
    <w:div w:id="1350596335">
      <w:bodyDiv w:val="1"/>
      <w:marLeft w:val="0"/>
      <w:marRight w:val="0"/>
      <w:marTop w:val="0"/>
      <w:marBottom w:val="0"/>
      <w:divBdr>
        <w:top w:val="none" w:sz="0" w:space="0" w:color="auto"/>
        <w:left w:val="none" w:sz="0" w:space="0" w:color="auto"/>
        <w:bottom w:val="none" w:sz="0" w:space="0" w:color="auto"/>
        <w:right w:val="none" w:sz="0" w:space="0" w:color="auto"/>
      </w:divBdr>
    </w:div>
    <w:div w:id="1360205296">
      <w:bodyDiv w:val="1"/>
      <w:marLeft w:val="0"/>
      <w:marRight w:val="0"/>
      <w:marTop w:val="0"/>
      <w:marBottom w:val="0"/>
      <w:divBdr>
        <w:top w:val="none" w:sz="0" w:space="0" w:color="auto"/>
        <w:left w:val="none" w:sz="0" w:space="0" w:color="auto"/>
        <w:bottom w:val="none" w:sz="0" w:space="0" w:color="auto"/>
        <w:right w:val="none" w:sz="0" w:space="0" w:color="auto"/>
      </w:divBdr>
    </w:div>
    <w:div w:id="1369263499">
      <w:bodyDiv w:val="1"/>
      <w:marLeft w:val="0"/>
      <w:marRight w:val="0"/>
      <w:marTop w:val="0"/>
      <w:marBottom w:val="0"/>
      <w:divBdr>
        <w:top w:val="none" w:sz="0" w:space="0" w:color="auto"/>
        <w:left w:val="none" w:sz="0" w:space="0" w:color="auto"/>
        <w:bottom w:val="none" w:sz="0" w:space="0" w:color="auto"/>
        <w:right w:val="none" w:sz="0" w:space="0" w:color="auto"/>
      </w:divBdr>
    </w:div>
    <w:div w:id="1373110701">
      <w:bodyDiv w:val="1"/>
      <w:marLeft w:val="0"/>
      <w:marRight w:val="0"/>
      <w:marTop w:val="0"/>
      <w:marBottom w:val="0"/>
      <w:divBdr>
        <w:top w:val="none" w:sz="0" w:space="0" w:color="auto"/>
        <w:left w:val="none" w:sz="0" w:space="0" w:color="auto"/>
        <w:bottom w:val="none" w:sz="0" w:space="0" w:color="auto"/>
        <w:right w:val="none" w:sz="0" w:space="0" w:color="auto"/>
      </w:divBdr>
    </w:div>
    <w:div w:id="1377657360">
      <w:bodyDiv w:val="1"/>
      <w:marLeft w:val="0"/>
      <w:marRight w:val="0"/>
      <w:marTop w:val="0"/>
      <w:marBottom w:val="0"/>
      <w:divBdr>
        <w:top w:val="none" w:sz="0" w:space="0" w:color="auto"/>
        <w:left w:val="none" w:sz="0" w:space="0" w:color="auto"/>
        <w:bottom w:val="none" w:sz="0" w:space="0" w:color="auto"/>
        <w:right w:val="none" w:sz="0" w:space="0" w:color="auto"/>
      </w:divBdr>
    </w:div>
    <w:div w:id="1382091471">
      <w:bodyDiv w:val="1"/>
      <w:marLeft w:val="0"/>
      <w:marRight w:val="0"/>
      <w:marTop w:val="0"/>
      <w:marBottom w:val="0"/>
      <w:divBdr>
        <w:top w:val="none" w:sz="0" w:space="0" w:color="auto"/>
        <w:left w:val="none" w:sz="0" w:space="0" w:color="auto"/>
        <w:bottom w:val="none" w:sz="0" w:space="0" w:color="auto"/>
        <w:right w:val="none" w:sz="0" w:space="0" w:color="auto"/>
      </w:divBdr>
    </w:div>
    <w:div w:id="1382750473">
      <w:bodyDiv w:val="1"/>
      <w:marLeft w:val="0"/>
      <w:marRight w:val="0"/>
      <w:marTop w:val="0"/>
      <w:marBottom w:val="0"/>
      <w:divBdr>
        <w:top w:val="none" w:sz="0" w:space="0" w:color="auto"/>
        <w:left w:val="none" w:sz="0" w:space="0" w:color="auto"/>
        <w:bottom w:val="none" w:sz="0" w:space="0" w:color="auto"/>
        <w:right w:val="none" w:sz="0" w:space="0" w:color="auto"/>
      </w:divBdr>
    </w:div>
    <w:div w:id="1388602821">
      <w:bodyDiv w:val="1"/>
      <w:marLeft w:val="0"/>
      <w:marRight w:val="0"/>
      <w:marTop w:val="0"/>
      <w:marBottom w:val="0"/>
      <w:divBdr>
        <w:top w:val="none" w:sz="0" w:space="0" w:color="auto"/>
        <w:left w:val="none" w:sz="0" w:space="0" w:color="auto"/>
        <w:bottom w:val="none" w:sz="0" w:space="0" w:color="auto"/>
        <w:right w:val="none" w:sz="0" w:space="0" w:color="auto"/>
      </w:divBdr>
    </w:div>
    <w:div w:id="1394422714">
      <w:bodyDiv w:val="1"/>
      <w:marLeft w:val="0"/>
      <w:marRight w:val="0"/>
      <w:marTop w:val="0"/>
      <w:marBottom w:val="0"/>
      <w:divBdr>
        <w:top w:val="none" w:sz="0" w:space="0" w:color="auto"/>
        <w:left w:val="none" w:sz="0" w:space="0" w:color="auto"/>
        <w:bottom w:val="none" w:sz="0" w:space="0" w:color="auto"/>
        <w:right w:val="none" w:sz="0" w:space="0" w:color="auto"/>
      </w:divBdr>
    </w:div>
    <w:div w:id="1396588094">
      <w:bodyDiv w:val="1"/>
      <w:marLeft w:val="0"/>
      <w:marRight w:val="0"/>
      <w:marTop w:val="0"/>
      <w:marBottom w:val="0"/>
      <w:divBdr>
        <w:top w:val="none" w:sz="0" w:space="0" w:color="auto"/>
        <w:left w:val="none" w:sz="0" w:space="0" w:color="auto"/>
        <w:bottom w:val="none" w:sz="0" w:space="0" w:color="auto"/>
        <w:right w:val="none" w:sz="0" w:space="0" w:color="auto"/>
      </w:divBdr>
    </w:div>
    <w:div w:id="1400596247">
      <w:bodyDiv w:val="1"/>
      <w:marLeft w:val="0"/>
      <w:marRight w:val="0"/>
      <w:marTop w:val="0"/>
      <w:marBottom w:val="0"/>
      <w:divBdr>
        <w:top w:val="none" w:sz="0" w:space="0" w:color="auto"/>
        <w:left w:val="none" w:sz="0" w:space="0" w:color="auto"/>
        <w:bottom w:val="none" w:sz="0" w:space="0" w:color="auto"/>
        <w:right w:val="none" w:sz="0" w:space="0" w:color="auto"/>
      </w:divBdr>
      <w:divsChild>
        <w:div w:id="680401584">
          <w:marLeft w:val="0"/>
          <w:marRight w:val="0"/>
          <w:marTop w:val="0"/>
          <w:marBottom w:val="0"/>
          <w:divBdr>
            <w:top w:val="none" w:sz="0" w:space="0" w:color="auto"/>
            <w:left w:val="none" w:sz="0" w:space="0" w:color="auto"/>
            <w:bottom w:val="none" w:sz="0" w:space="0" w:color="auto"/>
            <w:right w:val="none" w:sz="0" w:space="0" w:color="auto"/>
          </w:divBdr>
          <w:divsChild>
            <w:div w:id="999045135">
              <w:marLeft w:val="0"/>
              <w:marRight w:val="0"/>
              <w:marTop w:val="0"/>
              <w:marBottom w:val="0"/>
              <w:divBdr>
                <w:top w:val="none" w:sz="0" w:space="0" w:color="auto"/>
                <w:left w:val="none" w:sz="0" w:space="0" w:color="auto"/>
                <w:bottom w:val="none" w:sz="0" w:space="0" w:color="auto"/>
                <w:right w:val="none" w:sz="0" w:space="0" w:color="auto"/>
              </w:divBdr>
              <w:divsChild>
                <w:div w:id="19244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001">
      <w:bodyDiv w:val="1"/>
      <w:marLeft w:val="0"/>
      <w:marRight w:val="0"/>
      <w:marTop w:val="0"/>
      <w:marBottom w:val="0"/>
      <w:divBdr>
        <w:top w:val="none" w:sz="0" w:space="0" w:color="auto"/>
        <w:left w:val="none" w:sz="0" w:space="0" w:color="auto"/>
        <w:bottom w:val="none" w:sz="0" w:space="0" w:color="auto"/>
        <w:right w:val="none" w:sz="0" w:space="0" w:color="auto"/>
      </w:divBdr>
    </w:div>
    <w:div w:id="1410273976">
      <w:bodyDiv w:val="1"/>
      <w:marLeft w:val="0"/>
      <w:marRight w:val="0"/>
      <w:marTop w:val="0"/>
      <w:marBottom w:val="0"/>
      <w:divBdr>
        <w:top w:val="none" w:sz="0" w:space="0" w:color="auto"/>
        <w:left w:val="none" w:sz="0" w:space="0" w:color="auto"/>
        <w:bottom w:val="none" w:sz="0" w:space="0" w:color="auto"/>
        <w:right w:val="none" w:sz="0" w:space="0" w:color="auto"/>
      </w:divBdr>
      <w:divsChild>
        <w:div w:id="1246959740">
          <w:marLeft w:val="360"/>
          <w:marRight w:val="0"/>
          <w:marTop w:val="200"/>
          <w:marBottom w:val="0"/>
          <w:divBdr>
            <w:top w:val="none" w:sz="0" w:space="0" w:color="auto"/>
            <w:left w:val="none" w:sz="0" w:space="0" w:color="auto"/>
            <w:bottom w:val="none" w:sz="0" w:space="0" w:color="auto"/>
            <w:right w:val="none" w:sz="0" w:space="0" w:color="auto"/>
          </w:divBdr>
        </w:div>
      </w:divsChild>
    </w:div>
    <w:div w:id="1410274804">
      <w:bodyDiv w:val="1"/>
      <w:marLeft w:val="0"/>
      <w:marRight w:val="0"/>
      <w:marTop w:val="0"/>
      <w:marBottom w:val="0"/>
      <w:divBdr>
        <w:top w:val="none" w:sz="0" w:space="0" w:color="auto"/>
        <w:left w:val="none" w:sz="0" w:space="0" w:color="auto"/>
        <w:bottom w:val="none" w:sz="0" w:space="0" w:color="auto"/>
        <w:right w:val="none" w:sz="0" w:space="0" w:color="auto"/>
      </w:divBdr>
    </w:div>
    <w:div w:id="1414619880">
      <w:bodyDiv w:val="1"/>
      <w:marLeft w:val="0"/>
      <w:marRight w:val="0"/>
      <w:marTop w:val="0"/>
      <w:marBottom w:val="0"/>
      <w:divBdr>
        <w:top w:val="none" w:sz="0" w:space="0" w:color="auto"/>
        <w:left w:val="none" w:sz="0" w:space="0" w:color="auto"/>
        <w:bottom w:val="none" w:sz="0" w:space="0" w:color="auto"/>
        <w:right w:val="none" w:sz="0" w:space="0" w:color="auto"/>
      </w:divBdr>
    </w:div>
    <w:div w:id="1414860493">
      <w:bodyDiv w:val="1"/>
      <w:marLeft w:val="0"/>
      <w:marRight w:val="0"/>
      <w:marTop w:val="0"/>
      <w:marBottom w:val="0"/>
      <w:divBdr>
        <w:top w:val="none" w:sz="0" w:space="0" w:color="auto"/>
        <w:left w:val="none" w:sz="0" w:space="0" w:color="auto"/>
        <w:bottom w:val="none" w:sz="0" w:space="0" w:color="auto"/>
        <w:right w:val="none" w:sz="0" w:space="0" w:color="auto"/>
      </w:divBdr>
    </w:div>
    <w:div w:id="1422022943">
      <w:bodyDiv w:val="1"/>
      <w:marLeft w:val="0"/>
      <w:marRight w:val="0"/>
      <w:marTop w:val="0"/>
      <w:marBottom w:val="0"/>
      <w:divBdr>
        <w:top w:val="none" w:sz="0" w:space="0" w:color="auto"/>
        <w:left w:val="none" w:sz="0" w:space="0" w:color="auto"/>
        <w:bottom w:val="none" w:sz="0" w:space="0" w:color="auto"/>
        <w:right w:val="none" w:sz="0" w:space="0" w:color="auto"/>
      </w:divBdr>
    </w:div>
    <w:div w:id="1440635692">
      <w:bodyDiv w:val="1"/>
      <w:marLeft w:val="0"/>
      <w:marRight w:val="0"/>
      <w:marTop w:val="0"/>
      <w:marBottom w:val="0"/>
      <w:divBdr>
        <w:top w:val="none" w:sz="0" w:space="0" w:color="auto"/>
        <w:left w:val="none" w:sz="0" w:space="0" w:color="auto"/>
        <w:bottom w:val="none" w:sz="0" w:space="0" w:color="auto"/>
        <w:right w:val="none" w:sz="0" w:space="0" w:color="auto"/>
      </w:divBdr>
    </w:div>
    <w:div w:id="1444183276">
      <w:bodyDiv w:val="1"/>
      <w:marLeft w:val="0"/>
      <w:marRight w:val="0"/>
      <w:marTop w:val="0"/>
      <w:marBottom w:val="0"/>
      <w:divBdr>
        <w:top w:val="none" w:sz="0" w:space="0" w:color="auto"/>
        <w:left w:val="none" w:sz="0" w:space="0" w:color="auto"/>
        <w:bottom w:val="none" w:sz="0" w:space="0" w:color="auto"/>
        <w:right w:val="none" w:sz="0" w:space="0" w:color="auto"/>
      </w:divBdr>
    </w:div>
    <w:div w:id="1453745791">
      <w:bodyDiv w:val="1"/>
      <w:marLeft w:val="0"/>
      <w:marRight w:val="0"/>
      <w:marTop w:val="0"/>
      <w:marBottom w:val="0"/>
      <w:divBdr>
        <w:top w:val="none" w:sz="0" w:space="0" w:color="auto"/>
        <w:left w:val="none" w:sz="0" w:space="0" w:color="auto"/>
        <w:bottom w:val="none" w:sz="0" w:space="0" w:color="auto"/>
        <w:right w:val="none" w:sz="0" w:space="0" w:color="auto"/>
      </w:divBdr>
    </w:div>
    <w:div w:id="1457988365">
      <w:bodyDiv w:val="1"/>
      <w:marLeft w:val="0"/>
      <w:marRight w:val="0"/>
      <w:marTop w:val="0"/>
      <w:marBottom w:val="0"/>
      <w:divBdr>
        <w:top w:val="none" w:sz="0" w:space="0" w:color="auto"/>
        <w:left w:val="none" w:sz="0" w:space="0" w:color="auto"/>
        <w:bottom w:val="none" w:sz="0" w:space="0" w:color="auto"/>
        <w:right w:val="none" w:sz="0" w:space="0" w:color="auto"/>
      </w:divBdr>
    </w:div>
    <w:div w:id="1462649726">
      <w:bodyDiv w:val="1"/>
      <w:marLeft w:val="0"/>
      <w:marRight w:val="0"/>
      <w:marTop w:val="0"/>
      <w:marBottom w:val="0"/>
      <w:divBdr>
        <w:top w:val="none" w:sz="0" w:space="0" w:color="auto"/>
        <w:left w:val="none" w:sz="0" w:space="0" w:color="auto"/>
        <w:bottom w:val="none" w:sz="0" w:space="0" w:color="auto"/>
        <w:right w:val="none" w:sz="0" w:space="0" w:color="auto"/>
      </w:divBdr>
    </w:div>
    <w:div w:id="1466774647">
      <w:bodyDiv w:val="1"/>
      <w:marLeft w:val="0"/>
      <w:marRight w:val="0"/>
      <w:marTop w:val="0"/>
      <w:marBottom w:val="0"/>
      <w:divBdr>
        <w:top w:val="none" w:sz="0" w:space="0" w:color="auto"/>
        <w:left w:val="none" w:sz="0" w:space="0" w:color="auto"/>
        <w:bottom w:val="none" w:sz="0" w:space="0" w:color="auto"/>
        <w:right w:val="none" w:sz="0" w:space="0" w:color="auto"/>
      </w:divBdr>
    </w:div>
    <w:div w:id="1475562277">
      <w:bodyDiv w:val="1"/>
      <w:marLeft w:val="0"/>
      <w:marRight w:val="0"/>
      <w:marTop w:val="0"/>
      <w:marBottom w:val="0"/>
      <w:divBdr>
        <w:top w:val="none" w:sz="0" w:space="0" w:color="auto"/>
        <w:left w:val="none" w:sz="0" w:space="0" w:color="auto"/>
        <w:bottom w:val="none" w:sz="0" w:space="0" w:color="auto"/>
        <w:right w:val="none" w:sz="0" w:space="0" w:color="auto"/>
      </w:divBdr>
    </w:div>
    <w:div w:id="1476557972">
      <w:bodyDiv w:val="1"/>
      <w:marLeft w:val="0"/>
      <w:marRight w:val="0"/>
      <w:marTop w:val="0"/>
      <w:marBottom w:val="0"/>
      <w:divBdr>
        <w:top w:val="none" w:sz="0" w:space="0" w:color="auto"/>
        <w:left w:val="none" w:sz="0" w:space="0" w:color="auto"/>
        <w:bottom w:val="none" w:sz="0" w:space="0" w:color="auto"/>
        <w:right w:val="none" w:sz="0" w:space="0" w:color="auto"/>
      </w:divBdr>
    </w:div>
    <w:div w:id="1495416304">
      <w:bodyDiv w:val="1"/>
      <w:marLeft w:val="0"/>
      <w:marRight w:val="0"/>
      <w:marTop w:val="0"/>
      <w:marBottom w:val="0"/>
      <w:divBdr>
        <w:top w:val="none" w:sz="0" w:space="0" w:color="auto"/>
        <w:left w:val="none" w:sz="0" w:space="0" w:color="auto"/>
        <w:bottom w:val="none" w:sz="0" w:space="0" w:color="auto"/>
        <w:right w:val="none" w:sz="0" w:space="0" w:color="auto"/>
      </w:divBdr>
    </w:div>
    <w:div w:id="1502744100">
      <w:bodyDiv w:val="1"/>
      <w:marLeft w:val="0"/>
      <w:marRight w:val="0"/>
      <w:marTop w:val="0"/>
      <w:marBottom w:val="0"/>
      <w:divBdr>
        <w:top w:val="none" w:sz="0" w:space="0" w:color="auto"/>
        <w:left w:val="none" w:sz="0" w:space="0" w:color="auto"/>
        <w:bottom w:val="none" w:sz="0" w:space="0" w:color="auto"/>
        <w:right w:val="none" w:sz="0" w:space="0" w:color="auto"/>
      </w:divBdr>
    </w:div>
    <w:div w:id="1504054695">
      <w:bodyDiv w:val="1"/>
      <w:marLeft w:val="0"/>
      <w:marRight w:val="0"/>
      <w:marTop w:val="0"/>
      <w:marBottom w:val="0"/>
      <w:divBdr>
        <w:top w:val="none" w:sz="0" w:space="0" w:color="auto"/>
        <w:left w:val="none" w:sz="0" w:space="0" w:color="auto"/>
        <w:bottom w:val="none" w:sz="0" w:space="0" w:color="auto"/>
        <w:right w:val="none" w:sz="0" w:space="0" w:color="auto"/>
      </w:divBdr>
    </w:div>
    <w:div w:id="1509323235">
      <w:bodyDiv w:val="1"/>
      <w:marLeft w:val="0"/>
      <w:marRight w:val="0"/>
      <w:marTop w:val="0"/>
      <w:marBottom w:val="0"/>
      <w:divBdr>
        <w:top w:val="none" w:sz="0" w:space="0" w:color="auto"/>
        <w:left w:val="none" w:sz="0" w:space="0" w:color="auto"/>
        <w:bottom w:val="none" w:sz="0" w:space="0" w:color="auto"/>
        <w:right w:val="none" w:sz="0" w:space="0" w:color="auto"/>
      </w:divBdr>
    </w:div>
    <w:div w:id="1517885409">
      <w:bodyDiv w:val="1"/>
      <w:marLeft w:val="0"/>
      <w:marRight w:val="0"/>
      <w:marTop w:val="0"/>
      <w:marBottom w:val="0"/>
      <w:divBdr>
        <w:top w:val="none" w:sz="0" w:space="0" w:color="auto"/>
        <w:left w:val="none" w:sz="0" w:space="0" w:color="auto"/>
        <w:bottom w:val="none" w:sz="0" w:space="0" w:color="auto"/>
        <w:right w:val="none" w:sz="0" w:space="0" w:color="auto"/>
      </w:divBdr>
    </w:div>
    <w:div w:id="1518351629">
      <w:bodyDiv w:val="1"/>
      <w:marLeft w:val="0"/>
      <w:marRight w:val="0"/>
      <w:marTop w:val="0"/>
      <w:marBottom w:val="0"/>
      <w:divBdr>
        <w:top w:val="none" w:sz="0" w:space="0" w:color="auto"/>
        <w:left w:val="none" w:sz="0" w:space="0" w:color="auto"/>
        <w:bottom w:val="none" w:sz="0" w:space="0" w:color="auto"/>
        <w:right w:val="none" w:sz="0" w:space="0" w:color="auto"/>
      </w:divBdr>
    </w:div>
    <w:div w:id="1520267819">
      <w:bodyDiv w:val="1"/>
      <w:marLeft w:val="0"/>
      <w:marRight w:val="0"/>
      <w:marTop w:val="0"/>
      <w:marBottom w:val="0"/>
      <w:divBdr>
        <w:top w:val="none" w:sz="0" w:space="0" w:color="auto"/>
        <w:left w:val="none" w:sz="0" w:space="0" w:color="auto"/>
        <w:bottom w:val="none" w:sz="0" w:space="0" w:color="auto"/>
        <w:right w:val="none" w:sz="0" w:space="0" w:color="auto"/>
      </w:divBdr>
    </w:div>
    <w:div w:id="1530676353">
      <w:bodyDiv w:val="1"/>
      <w:marLeft w:val="0"/>
      <w:marRight w:val="0"/>
      <w:marTop w:val="0"/>
      <w:marBottom w:val="0"/>
      <w:divBdr>
        <w:top w:val="none" w:sz="0" w:space="0" w:color="auto"/>
        <w:left w:val="none" w:sz="0" w:space="0" w:color="auto"/>
        <w:bottom w:val="none" w:sz="0" w:space="0" w:color="auto"/>
        <w:right w:val="none" w:sz="0" w:space="0" w:color="auto"/>
      </w:divBdr>
    </w:div>
    <w:div w:id="1536846949">
      <w:bodyDiv w:val="1"/>
      <w:marLeft w:val="0"/>
      <w:marRight w:val="0"/>
      <w:marTop w:val="0"/>
      <w:marBottom w:val="0"/>
      <w:divBdr>
        <w:top w:val="none" w:sz="0" w:space="0" w:color="auto"/>
        <w:left w:val="none" w:sz="0" w:space="0" w:color="auto"/>
        <w:bottom w:val="none" w:sz="0" w:space="0" w:color="auto"/>
        <w:right w:val="none" w:sz="0" w:space="0" w:color="auto"/>
      </w:divBdr>
    </w:div>
    <w:div w:id="1540123324">
      <w:bodyDiv w:val="1"/>
      <w:marLeft w:val="0"/>
      <w:marRight w:val="0"/>
      <w:marTop w:val="0"/>
      <w:marBottom w:val="0"/>
      <w:divBdr>
        <w:top w:val="none" w:sz="0" w:space="0" w:color="auto"/>
        <w:left w:val="none" w:sz="0" w:space="0" w:color="auto"/>
        <w:bottom w:val="none" w:sz="0" w:space="0" w:color="auto"/>
        <w:right w:val="none" w:sz="0" w:space="0" w:color="auto"/>
      </w:divBdr>
    </w:div>
    <w:div w:id="1548681998">
      <w:bodyDiv w:val="1"/>
      <w:marLeft w:val="0"/>
      <w:marRight w:val="0"/>
      <w:marTop w:val="0"/>
      <w:marBottom w:val="0"/>
      <w:divBdr>
        <w:top w:val="none" w:sz="0" w:space="0" w:color="auto"/>
        <w:left w:val="none" w:sz="0" w:space="0" w:color="auto"/>
        <w:bottom w:val="none" w:sz="0" w:space="0" w:color="auto"/>
        <w:right w:val="none" w:sz="0" w:space="0" w:color="auto"/>
      </w:divBdr>
    </w:div>
    <w:div w:id="1552887608">
      <w:bodyDiv w:val="1"/>
      <w:marLeft w:val="0"/>
      <w:marRight w:val="0"/>
      <w:marTop w:val="0"/>
      <w:marBottom w:val="0"/>
      <w:divBdr>
        <w:top w:val="none" w:sz="0" w:space="0" w:color="auto"/>
        <w:left w:val="none" w:sz="0" w:space="0" w:color="auto"/>
        <w:bottom w:val="none" w:sz="0" w:space="0" w:color="auto"/>
        <w:right w:val="none" w:sz="0" w:space="0" w:color="auto"/>
      </w:divBdr>
    </w:div>
    <w:div w:id="1558475322">
      <w:bodyDiv w:val="1"/>
      <w:marLeft w:val="0"/>
      <w:marRight w:val="0"/>
      <w:marTop w:val="0"/>
      <w:marBottom w:val="0"/>
      <w:divBdr>
        <w:top w:val="none" w:sz="0" w:space="0" w:color="auto"/>
        <w:left w:val="none" w:sz="0" w:space="0" w:color="auto"/>
        <w:bottom w:val="none" w:sz="0" w:space="0" w:color="auto"/>
        <w:right w:val="none" w:sz="0" w:space="0" w:color="auto"/>
      </w:divBdr>
    </w:div>
    <w:div w:id="1564869552">
      <w:bodyDiv w:val="1"/>
      <w:marLeft w:val="0"/>
      <w:marRight w:val="0"/>
      <w:marTop w:val="0"/>
      <w:marBottom w:val="0"/>
      <w:divBdr>
        <w:top w:val="none" w:sz="0" w:space="0" w:color="auto"/>
        <w:left w:val="none" w:sz="0" w:space="0" w:color="auto"/>
        <w:bottom w:val="none" w:sz="0" w:space="0" w:color="auto"/>
        <w:right w:val="none" w:sz="0" w:space="0" w:color="auto"/>
      </w:divBdr>
    </w:div>
    <w:div w:id="1570847608">
      <w:bodyDiv w:val="1"/>
      <w:marLeft w:val="0"/>
      <w:marRight w:val="0"/>
      <w:marTop w:val="0"/>
      <w:marBottom w:val="0"/>
      <w:divBdr>
        <w:top w:val="none" w:sz="0" w:space="0" w:color="auto"/>
        <w:left w:val="none" w:sz="0" w:space="0" w:color="auto"/>
        <w:bottom w:val="none" w:sz="0" w:space="0" w:color="auto"/>
        <w:right w:val="none" w:sz="0" w:space="0" w:color="auto"/>
      </w:divBdr>
    </w:div>
    <w:div w:id="1572501174">
      <w:bodyDiv w:val="1"/>
      <w:marLeft w:val="0"/>
      <w:marRight w:val="0"/>
      <w:marTop w:val="0"/>
      <w:marBottom w:val="0"/>
      <w:divBdr>
        <w:top w:val="none" w:sz="0" w:space="0" w:color="auto"/>
        <w:left w:val="none" w:sz="0" w:space="0" w:color="auto"/>
        <w:bottom w:val="none" w:sz="0" w:space="0" w:color="auto"/>
        <w:right w:val="none" w:sz="0" w:space="0" w:color="auto"/>
      </w:divBdr>
    </w:div>
    <w:div w:id="1577207435">
      <w:bodyDiv w:val="1"/>
      <w:marLeft w:val="0"/>
      <w:marRight w:val="0"/>
      <w:marTop w:val="0"/>
      <w:marBottom w:val="0"/>
      <w:divBdr>
        <w:top w:val="none" w:sz="0" w:space="0" w:color="auto"/>
        <w:left w:val="none" w:sz="0" w:space="0" w:color="auto"/>
        <w:bottom w:val="none" w:sz="0" w:space="0" w:color="auto"/>
        <w:right w:val="none" w:sz="0" w:space="0" w:color="auto"/>
      </w:divBdr>
    </w:div>
    <w:div w:id="1577742177">
      <w:bodyDiv w:val="1"/>
      <w:marLeft w:val="0"/>
      <w:marRight w:val="0"/>
      <w:marTop w:val="0"/>
      <w:marBottom w:val="0"/>
      <w:divBdr>
        <w:top w:val="none" w:sz="0" w:space="0" w:color="auto"/>
        <w:left w:val="none" w:sz="0" w:space="0" w:color="auto"/>
        <w:bottom w:val="none" w:sz="0" w:space="0" w:color="auto"/>
        <w:right w:val="none" w:sz="0" w:space="0" w:color="auto"/>
      </w:divBdr>
    </w:div>
    <w:div w:id="1584991242">
      <w:bodyDiv w:val="1"/>
      <w:marLeft w:val="0"/>
      <w:marRight w:val="0"/>
      <w:marTop w:val="0"/>
      <w:marBottom w:val="0"/>
      <w:divBdr>
        <w:top w:val="none" w:sz="0" w:space="0" w:color="auto"/>
        <w:left w:val="none" w:sz="0" w:space="0" w:color="auto"/>
        <w:bottom w:val="none" w:sz="0" w:space="0" w:color="auto"/>
        <w:right w:val="none" w:sz="0" w:space="0" w:color="auto"/>
      </w:divBdr>
    </w:div>
    <w:div w:id="1585719389">
      <w:bodyDiv w:val="1"/>
      <w:marLeft w:val="0"/>
      <w:marRight w:val="0"/>
      <w:marTop w:val="0"/>
      <w:marBottom w:val="0"/>
      <w:divBdr>
        <w:top w:val="none" w:sz="0" w:space="0" w:color="auto"/>
        <w:left w:val="none" w:sz="0" w:space="0" w:color="auto"/>
        <w:bottom w:val="none" w:sz="0" w:space="0" w:color="auto"/>
        <w:right w:val="none" w:sz="0" w:space="0" w:color="auto"/>
      </w:divBdr>
    </w:div>
    <w:div w:id="1597052535">
      <w:bodyDiv w:val="1"/>
      <w:marLeft w:val="0"/>
      <w:marRight w:val="0"/>
      <w:marTop w:val="0"/>
      <w:marBottom w:val="0"/>
      <w:divBdr>
        <w:top w:val="none" w:sz="0" w:space="0" w:color="auto"/>
        <w:left w:val="none" w:sz="0" w:space="0" w:color="auto"/>
        <w:bottom w:val="none" w:sz="0" w:space="0" w:color="auto"/>
        <w:right w:val="none" w:sz="0" w:space="0" w:color="auto"/>
      </w:divBdr>
    </w:div>
    <w:div w:id="1597395733">
      <w:bodyDiv w:val="1"/>
      <w:marLeft w:val="0"/>
      <w:marRight w:val="0"/>
      <w:marTop w:val="0"/>
      <w:marBottom w:val="0"/>
      <w:divBdr>
        <w:top w:val="none" w:sz="0" w:space="0" w:color="auto"/>
        <w:left w:val="none" w:sz="0" w:space="0" w:color="auto"/>
        <w:bottom w:val="none" w:sz="0" w:space="0" w:color="auto"/>
        <w:right w:val="none" w:sz="0" w:space="0" w:color="auto"/>
      </w:divBdr>
    </w:div>
    <w:div w:id="1606039640">
      <w:bodyDiv w:val="1"/>
      <w:marLeft w:val="0"/>
      <w:marRight w:val="0"/>
      <w:marTop w:val="0"/>
      <w:marBottom w:val="0"/>
      <w:divBdr>
        <w:top w:val="none" w:sz="0" w:space="0" w:color="auto"/>
        <w:left w:val="none" w:sz="0" w:space="0" w:color="auto"/>
        <w:bottom w:val="none" w:sz="0" w:space="0" w:color="auto"/>
        <w:right w:val="none" w:sz="0" w:space="0" w:color="auto"/>
      </w:divBdr>
    </w:div>
    <w:div w:id="1607614278">
      <w:bodyDiv w:val="1"/>
      <w:marLeft w:val="0"/>
      <w:marRight w:val="0"/>
      <w:marTop w:val="0"/>
      <w:marBottom w:val="0"/>
      <w:divBdr>
        <w:top w:val="none" w:sz="0" w:space="0" w:color="auto"/>
        <w:left w:val="none" w:sz="0" w:space="0" w:color="auto"/>
        <w:bottom w:val="none" w:sz="0" w:space="0" w:color="auto"/>
        <w:right w:val="none" w:sz="0" w:space="0" w:color="auto"/>
      </w:divBdr>
    </w:div>
    <w:div w:id="1634559073">
      <w:bodyDiv w:val="1"/>
      <w:marLeft w:val="0"/>
      <w:marRight w:val="0"/>
      <w:marTop w:val="0"/>
      <w:marBottom w:val="0"/>
      <w:divBdr>
        <w:top w:val="none" w:sz="0" w:space="0" w:color="auto"/>
        <w:left w:val="none" w:sz="0" w:space="0" w:color="auto"/>
        <w:bottom w:val="none" w:sz="0" w:space="0" w:color="auto"/>
        <w:right w:val="none" w:sz="0" w:space="0" w:color="auto"/>
      </w:divBdr>
    </w:div>
    <w:div w:id="1634872238">
      <w:bodyDiv w:val="1"/>
      <w:marLeft w:val="0"/>
      <w:marRight w:val="0"/>
      <w:marTop w:val="0"/>
      <w:marBottom w:val="0"/>
      <w:divBdr>
        <w:top w:val="none" w:sz="0" w:space="0" w:color="auto"/>
        <w:left w:val="none" w:sz="0" w:space="0" w:color="auto"/>
        <w:bottom w:val="none" w:sz="0" w:space="0" w:color="auto"/>
        <w:right w:val="none" w:sz="0" w:space="0" w:color="auto"/>
      </w:divBdr>
    </w:div>
    <w:div w:id="1643341394">
      <w:bodyDiv w:val="1"/>
      <w:marLeft w:val="0"/>
      <w:marRight w:val="0"/>
      <w:marTop w:val="0"/>
      <w:marBottom w:val="0"/>
      <w:divBdr>
        <w:top w:val="none" w:sz="0" w:space="0" w:color="auto"/>
        <w:left w:val="none" w:sz="0" w:space="0" w:color="auto"/>
        <w:bottom w:val="none" w:sz="0" w:space="0" w:color="auto"/>
        <w:right w:val="none" w:sz="0" w:space="0" w:color="auto"/>
      </w:divBdr>
    </w:div>
    <w:div w:id="1655330526">
      <w:bodyDiv w:val="1"/>
      <w:marLeft w:val="0"/>
      <w:marRight w:val="0"/>
      <w:marTop w:val="0"/>
      <w:marBottom w:val="0"/>
      <w:divBdr>
        <w:top w:val="none" w:sz="0" w:space="0" w:color="auto"/>
        <w:left w:val="none" w:sz="0" w:space="0" w:color="auto"/>
        <w:bottom w:val="none" w:sz="0" w:space="0" w:color="auto"/>
        <w:right w:val="none" w:sz="0" w:space="0" w:color="auto"/>
      </w:divBdr>
    </w:div>
    <w:div w:id="1657605021">
      <w:bodyDiv w:val="1"/>
      <w:marLeft w:val="0"/>
      <w:marRight w:val="0"/>
      <w:marTop w:val="0"/>
      <w:marBottom w:val="0"/>
      <w:divBdr>
        <w:top w:val="none" w:sz="0" w:space="0" w:color="auto"/>
        <w:left w:val="none" w:sz="0" w:space="0" w:color="auto"/>
        <w:bottom w:val="none" w:sz="0" w:space="0" w:color="auto"/>
        <w:right w:val="none" w:sz="0" w:space="0" w:color="auto"/>
      </w:divBdr>
    </w:div>
    <w:div w:id="1657958322">
      <w:bodyDiv w:val="1"/>
      <w:marLeft w:val="0"/>
      <w:marRight w:val="0"/>
      <w:marTop w:val="0"/>
      <w:marBottom w:val="0"/>
      <w:divBdr>
        <w:top w:val="none" w:sz="0" w:space="0" w:color="auto"/>
        <w:left w:val="none" w:sz="0" w:space="0" w:color="auto"/>
        <w:bottom w:val="none" w:sz="0" w:space="0" w:color="auto"/>
        <w:right w:val="none" w:sz="0" w:space="0" w:color="auto"/>
      </w:divBdr>
    </w:div>
    <w:div w:id="1658918344">
      <w:bodyDiv w:val="1"/>
      <w:marLeft w:val="0"/>
      <w:marRight w:val="0"/>
      <w:marTop w:val="0"/>
      <w:marBottom w:val="0"/>
      <w:divBdr>
        <w:top w:val="none" w:sz="0" w:space="0" w:color="auto"/>
        <w:left w:val="none" w:sz="0" w:space="0" w:color="auto"/>
        <w:bottom w:val="none" w:sz="0" w:space="0" w:color="auto"/>
        <w:right w:val="none" w:sz="0" w:space="0" w:color="auto"/>
      </w:divBdr>
    </w:div>
    <w:div w:id="1663582039">
      <w:bodyDiv w:val="1"/>
      <w:marLeft w:val="0"/>
      <w:marRight w:val="0"/>
      <w:marTop w:val="0"/>
      <w:marBottom w:val="0"/>
      <w:divBdr>
        <w:top w:val="none" w:sz="0" w:space="0" w:color="auto"/>
        <w:left w:val="none" w:sz="0" w:space="0" w:color="auto"/>
        <w:bottom w:val="none" w:sz="0" w:space="0" w:color="auto"/>
        <w:right w:val="none" w:sz="0" w:space="0" w:color="auto"/>
      </w:divBdr>
    </w:div>
    <w:div w:id="1667439464">
      <w:bodyDiv w:val="1"/>
      <w:marLeft w:val="0"/>
      <w:marRight w:val="0"/>
      <w:marTop w:val="0"/>
      <w:marBottom w:val="0"/>
      <w:divBdr>
        <w:top w:val="none" w:sz="0" w:space="0" w:color="auto"/>
        <w:left w:val="none" w:sz="0" w:space="0" w:color="auto"/>
        <w:bottom w:val="none" w:sz="0" w:space="0" w:color="auto"/>
        <w:right w:val="none" w:sz="0" w:space="0" w:color="auto"/>
      </w:divBdr>
    </w:div>
    <w:div w:id="1670478850">
      <w:bodyDiv w:val="1"/>
      <w:marLeft w:val="0"/>
      <w:marRight w:val="0"/>
      <w:marTop w:val="0"/>
      <w:marBottom w:val="0"/>
      <w:divBdr>
        <w:top w:val="none" w:sz="0" w:space="0" w:color="auto"/>
        <w:left w:val="none" w:sz="0" w:space="0" w:color="auto"/>
        <w:bottom w:val="none" w:sz="0" w:space="0" w:color="auto"/>
        <w:right w:val="none" w:sz="0" w:space="0" w:color="auto"/>
      </w:divBdr>
    </w:div>
    <w:div w:id="1670601295">
      <w:bodyDiv w:val="1"/>
      <w:marLeft w:val="0"/>
      <w:marRight w:val="0"/>
      <w:marTop w:val="0"/>
      <w:marBottom w:val="0"/>
      <w:divBdr>
        <w:top w:val="none" w:sz="0" w:space="0" w:color="auto"/>
        <w:left w:val="none" w:sz="0" w:space="0" w:color="auto"/>
        <w:bottom w:val="none" w:sz="0" w:space="0" w:color="auto"/>
        <w:right w:val="none" w:sz="0" w:space="0" w:color="auto"/>
      </w:divBdr>
    </w:div>
    <w:div w:id="1677221776">
      <w:bodyDiv w:val="1"/>
      <w:marLeft w:val="0"/>
      <w:marRight w:val="0"/>
      <w:marTop w:val="0"/>
      <w:marBottom w:val="0"/>
      <w:divBdr>
        <w:top w:val="none" w:sz="0" w:space="0" w:color="auto"/>
        <w:left w:val="none" w:sz="0" w:space="0" w:color="auto"/>
        <w:bottom w:val="none" w:sz="0" w:space="0" w:color="auto"/>
        <w:right w:val="none" w:sz="0" w:space="0" w:color="auto"/>
      </w:divBdr>
    </w:div>
    <w:div w:id="1678800958">
      <w:bodyDiv w:val="1"/>
      <w:marLeft w:val="0"/>
      <w:marRight w:val="0"/>
      <w:marTop w:val="0"/>
      <w:marBottom w:val="0"/>
      <w:divBdr>
        <w:top w:val="none" w:sz="0" w:space="0" w:color="auto"/>
        <w:left w:val="none" w:sz="0" w:space="0" w:color="auto"/>
        <w:bottom w:val="none" w:sz="0" w:space="0" w:color="auto"/>
        <w:right w:val="none" w:sz="0" w:space="0" w:color="auto"/>
      </w:divBdr>
    </w:div>
    <w:div w:id="1680423304">
      <w:bodyDiv w:val="1"/>
      <w:marLeft w:val="0"/>
      <w:marRight w:val="0"/>
      <w:marTop w:val="0"/>
      <w:marBottom w:val="0"/>
      <w:divBdr>
        <w:top w:val="none" w:sz="0" w:space="0" w:color="auto"/>
        <w:left w:val="none" w:sz="0" w:space="0" w:color="auto"/>
        <w:bottom w:val="none" w:sz="0" w:space="0" w:color="auto"/>
        <w:right w:val="none" w:sz="0" w:space="0" w:color="auto"/>
      </w:divBdr>
    </w:div>
    <w:div w:id="1692880383">
      <w:bodyDiv w:val="1"/>
      <w:marLeft w:val="0"/>
      <w:marRight w:val="0"/>
      <w:marTop w:val="0"/>
      <w:marBottom w:val="0"/>
      <w:divBdr>
        <w:top w:val="none" w:sz="0" w:space="0" w:color="auto"/>
        <w:left w:val="none" w:sz="0" w:space="0" w:color="auto"/>
        <w:bottom w:val="none" w:sz="0" w:space="0" w:color="auto"/>
        <w:right w:val="none" w:sz="0" w:space="0" w:color="auto"/>
      </w:divBdr>
    </w:div>
    <w:div w:id="1697463438">
      <w:bodyDiv w:val="1"/>
      <w:marLeft w:val="0"/>
      <w:marRight w:val="0"/>
      <w:marTop w:val="0"/>
      <w:marBottom w:val="0"/>
      <w:divBdr>
        <w:top w:val="none" w:sz="0" w:space="0" w:color="auto"/>
        <w:left w:val="none" w:sz="0" w:space="0" w:color="auto"/>
        <w:bottom w:val="none" w:sz="0" w:space="0" w:color="auto"/>
        <w:right w:val="none" w:sz="0" w:space="0" w:color="auto"/>
      </w:divBdr>
    </w:div>
    <w:div w:id="1699815650">
      <w:bodyDiv w:val="1"/>
      <w:marLeft w:val="0"/>
      <w:marRight w:val="0"/>
      <w:marTop w:val="0"/>
      <w:marBottom w:val="0"/>
      <w:divBdr>
        <w:top w:val="none" w:sz="0" w:space="0" w:color="auto"/>
        <w:left w:val="none" w:sz="0" w:space="0" w:color="auto"/>
        <w:bottom w:val="none" w:sz="0" w:space="0" w:color="auto"/>
        <w:right w:val="none" w:sz="0" w:space="0" w:color="auto"/>
      </w:divBdr>
    </w:div>
    <w:div w:id="1705983511">
      <w:bodyDiv w:val="1"/>
      <w:marLeft w:val="0"/>
      <w:marRight w:val="0"/>
      <w:marTop w:val="0"/>
      <w:marBottom w:val="0"/>
      <w:divBdr>
        <w:top w:val="none" w:sz="0" w:space="0" w:color="auto"/>
        <w:left w:val="none" w:sz="0" w:space="0" w:color="auto"/>
        <w:bottom w:val="none" w:sz="0" w:space="0" w:color="auto"/>
        <w:right w:val="none" w:sz="0" w:space="0" w:color="auto"/>
      </w:divBdr>
    </w:div>
    <w:div w:id="1707490076">
      <w:bodyDiv w:val="1"/>
      <w:marLeft w:val="0"/>
      <w:marRight w:val="0"/>
      <w:marTop w:val="0"/>
      <w:marBottom w:val="0"/>
      <w:divBdr>
        <w:top w:val="none" w:sz="0" w:space="0" w:color="auto"/>
        <w:left w:val="none" w:sz="0" w:space="0" w:color="auto"/>
        <w:bottom w:val="none" w:sz="0" w:space="0" w:color="auto"/>
        <w:right w:val="none" w:sz="0" w:space="0" w:color="auto"/>
      </w:divBdr>
    </w:div>
    <w:div w:id="1712151267">
      <w:bodyDiv w:val="1"/>
      <w:marLeft w:val="0"/>
      <w:marRight w:val="0"/>
      <w:marTop w:val="0"/>
      <w:marBottom w:val="0"/>
      <w:divBdr>
        <w:top w:val="none" w:sz="0" w:space="0" w:color="auto"/>
        <w:left w:val="none" w:sz="0" w:space="0" w:color="auto"/>
        <w:bottom w:val="none" w:sz="0" w:space="0" w:color="auto"/>
        <w:right w:val="none" w:sz="0" w:space="0" w:color="auto"/>
      </w:divBdr>
    </w:div>
    <w:div w:id="1717578971">
      <w:bodyDiv w:val="1"/>
      <w:marLeft w:val="0"/>
      <w:marRight w:val="0"/>
      <w:marTop w:val="0"/>
      <w:marBottom w:val="0"/>
      <w:divBdr>
        <w:top w:val="none" w:sz="0" w:space="0" w:color="auto"/>
        <w:left w:val="none" w:sz="0" w:space="0" w:color="auto"/>
        <w:bottom w:val="none" w:sz="0" w:space="0" w:color="auto"/>
        <w:right w:val="none" w:sz="0" w:space="0" w:color="auto"/>
      </w:divBdr>
    </w:div>
    <w:div w:id="1743791515">
      <w:bodyDiv w:val="1"/>
      <w:marLeft w:val="0"/>
      <w:marRight w:val="0"/>
      <w:marTop w:val="0"/>
      <w:marBottom w:val="0"/>
      <w:divBdr>
        <w:top w:val="none" w:sz="0" w:space="0" w:color="auto"/>
        <w:left w:val="none" w:sz="0" w:space="0" w:color="auto"/>
        <w:bottom w:val="none" w:sz="0" w:space="0" w:color="auto"/>
        <w:right w:val="none" w:sz="0" w:space="0" w:color="auto"/>
      </w:divBdr>
    </w:div>
    <w:div w:id="1754013376">
      <w:bodyDiv w:val="1"/>
      <w:marLeft w:val="0"/>
      <w:marRight w:val="0"/>
      <w:marTop w:val="0"/>
      <w:marBottom w:val="0"/>
      <w:divBdr>
        <w:top w:val="none" w:sz="0" w:space="0" w:color="auto"/>
        <w:left w:val="none" w:sz="0" w:space="0" w:color="auto"/>
        <w:bottom w:val="none" w:sz="0" w:space="0" w:color="auto"/>
        <w:right w:val="none" w:sz="0" w:space="0" w:color="auto"/>
      </w:divBdr>
    </w:div>
    <w:div w:id="1764298482">
      <w:bodyDiv w:val="1"/>
      <w:marLeft w:val="0"/>
      <w:marRight w:val="0"/>
      <w:marTop w:val="0"/>
      <w:marBottom w:val="0"/>
      <w:divBdr>
        <w:top w:val="none" w:sz="0" w:space="0" w:color="auto"/>
        <w:left w:val="none" w:sz="0" w:space="0" w:color="auto"/>
        <w:bottom w:val="none" w:sz="0" w:space="0" w:color="auto"/>
        <w:right w:val="none" w:sz="0" w:space="0" w:color="auto"/>
      </w:divBdr>
    </w:div>
    <w:div w:id="1766996847">
      <w:bodyDiv w:val="1"/>
      <w:marLeft w:val="0"/>
      <w:marRight w:val="0"/>
      <w:marTop w:val="0"/>
      <w:marBottom w:val="0"/>
      <w:divBdr>
        <w:top w:val="none" w:sz="0" w:space="0" w:color="auto"/>
        <w:left w:val="none" w:sz="0" w:space="0" w:color="auto"/>
        <w:bottom w:val="none" w:sz="0" w:space="0" w:color="auto"/>
        <w:right w:val="none" w:sz="0" w:space="0" w:color="auto"/>
      </w:divBdr>
    </w:div>
    <w:div w:id="1773353468">
      <w:bodyDiv w:val="1"/>
      <w:marLeft w:val="0"/>
      <w:marRight w:val="0"/>
      <w:marTop w:val="0"/>
      <w:marBottom w:val="0"/>
      <w:divBdr>
        <w:top w:val="none" w:sz="0" w:space="0" w:color="auto"/>
        <w:left w:val="none" w:sz="0" w:space="0" w:color="auto"/>
        <w:bottom w:val="none" w:sz="0" w:space="0" w:color="auto"/>
        <w:right w:val="none" w:sz="0" w:space="0" w:color="auto"/>
      </w:divBdr>
    </w:div>
    <w:div w:id="1773476889">
      <w:bodyDiv w:val="1"/>
      <w:marLeft w:val="0"/>
      <w:marRight w:val="0"/>
      <w:marTop w:val="0"/>
      <w:marBottom w:val="0"/>
      <w:divBdr>
        <w:top w:val="none" w:sz="0" w:space="0" w:color="auto"/>
        <w:left w:val="none" w:sz="0" w:space="0" w:color="auto"/>
        <w:bottom w:val="none" w:sz="0" w:space="0" w:color="auto"/>
        <w:right w:val="none" w:sz="0" w:space="0" w:color="auto"/>
      </w:divBdr>
    </w:div>
    <w:div w:id="1775857579">
      <w:bodyDiv w:val="1"/>
      <w:marLeft w:val="0"/>
      <w:marRight w:val="0"/>
      <w:marTop w:val="0"/>
      <w:marBottom w:val="0"/>
      <w:divBdr>
        <w:top w:val="none" w:sz="0" w:space="0" w:color="auto"/>
        <w:left w:val="none" w:sz="0" w:space="0" w:color="auto"/>
        <w:bottom w:val="none" w:sz="0" w:space="0" w:color="auto"/>
        <w:right w:val="none" w:sz="0" w:space="0" w:color="auto"/>
      </w:divBdr>
      <w:divsChild>
        <w:div w:id="1656491225">
          <w:marLeft w:val="0"/>
          <w:marRight w:val="0"/>
          <w:marTop w:val="0"/>
          <w:marBottom w:val="0"/>
          <w:divBdr>
            <w:top w:val="none" w:sz="0" w:space="0" w:color="auto"/>
            <w:left w:val="none" w:sz="0" w:space="0" w:color="auto"/>
            <w:bottom w:val="none" w:sz="0" w:space="0" w:color="auto"/>
            <w:right w:val="none" w:sz="0" w:space="0" w:color="auto"/>
          </w:divBdr>
          <w:divsChild>
            <w:div w:id="1584803259">
              <w:marLeft w:val="0"/>
              <w:marRight w:val="0"/>
              <w:marTop w:val="0"/>
              <w:marBottom w:val="0"/>
              <w:divBdr>
                <w:top w:val="none" w:sz="0" w:space="0" w:color="auto"/>
                <w:left w:val="none" w:sz="0" w:space="0" w:color="auto"/>
                <w:bottom w:val="none" w:sz="0" w:space="0" w:color="auto"/>
                <w:right w:val="none" w:sz="0" w:space="0" w:color="auto"/>
              </w:divBdr>
              <w:divsChild>
                <w:div w:id="4864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14530">
      <w:bodyDiv w:val="1"/>
      <w:marLeft w:val="0"/>
      <w:marRight w:val="0"/>
      <w:marTop w:val="0"/>
      <w:marBottom w:val="0"/>
      <w:divBdr>
        <w:top w:val="none" w:sz="0" w:space="0" w:color="auto"/>
        <w:left w:val="none" w:sz="0" w:space="0" w:color="auto"/>
        <w:bottom w:val="none" w:sz="0" w:space="0" w:color="auto"/>
        <w:right w:val="none" w:sz="0" w:space="0" w:color="auto"/>
      </w:divBdr>
    </w:div>
    <w:div w:id="1779987897">
      <w:bodyDiv w:val="1"/>
      <w:marLeft w:val="0"/>
      <w:marRight w:val="0"/>
      <w:marTop w:val="0"/>
      <w:marBottom w:val="0"/>
      <w:divBdr>
        <w:top w:val="none" w:sz="0" w:space="0" w:color="auto"/>
        <w:left w:val="none" w:sz="0" w:space="0" w:color="auto"/>
        <w:bottom w:val="none" w:sz="0" w:space="0" w:color="auto"/>
        <w:right w:val="none" w:sz="0" w:space="0" w:color="auto"/>
      </w:divBdr>
    </w:div>
    <w:div w:id="1789158121">
      <w:bodyDiv w:val="1"/>
      <w:marLeft w:val="0"/>
      <w:marRight w:val="0"/>
      <w:marTop w:val="0"/>
      <w:marBottom w:val="0"/>
      <w:divBdr>
        <w:top w:val="none" w:sz="0" w:space="0" w:color="auto"/>
        <w:left w:val="none" w:sz="0" w:space="0" w:color="auto"/>
        <w:bottom w:val="none" w:sz="0" w:space="0" w:color="auto"/>
        <w:right w:val="none" w:sz="0" w:space="0" w:color="auto"/>
      </w:divBdr>
    </w:div>
    <w:div w:id="1791820190">
      <w:bodyDiv w:val="1"/>
      <w:marLeft w:val="0"/>
      <w:marRight w:val="0"/>
      <w:marTop w:val="0"/>
      <w:marBottom w:val="0"/>
      <w:divBdr>
        <w:top w:val="none" w:sz="0" w:space="0" w:color="auto"/>
        <w:left w:val="none" w:sz="0" w:space="0" w:color="auto"/>
        <w:bottom w:val="none" w:sz="0" w:space="0" w:color="auto"/>
        <w:right w:val="none" w:sz="0" w:space="0" w:color="auto"/>
      </w:divBdr>
    </w:div>
    <w:div w:id="1792161387">
      <w:bodyDiv w:val="1"/>
      <w:marLeft w:val="0"/>
      <w:marRight w:val="0"/>
      <w:marTop w:val="0"/>
      <w:marBottom w:val="0"/>
      <w:divBdr>
        <w:top w:val="none" w:sz="0" w:space="0" w:color="auto"/>
        <w:left w:val="none" w:sz="0" w:space="0" w:color="auto"/>
        <w:bottom w:val="none" w:sz="0" w:space="0" w:color="auto"/>
        <w:right w:val="none" w:sz="0" w:space="0" w:color="auto"/>
      </w:divBdr>
    </w:div>
    <w:div w:id="1793134053">
      <w:bodyDiv w:val="1"/>
      <w:marLeft w:val="0"/>
      <w:marRight w:val="0"/>
      <w:marTop w:val="0"/>
      <w:marBottom w:val="0"/>
      <w:divBdr>
        <w:top w:val="none" w:sz="0" w:space="0" w:color="auto"/>
        <w:left w:val="none" w:sz="0" w:space="0" w:color="auto"/>
        <w:bottom w:val="none" w:sz="0" w:space="0" w:color="auto"/>
        <w:right w:val="none" w:sz="0" w:space="0" w:color="auto"/>
      </w:divBdr>
    </w:div>
    <w:div w:id="1797598559">
      <w:bodyDiv w:val="1"/>
      <w:marLeft w:val="0"/>
      <w:marRight w:val="0"/>
      <w:marTop w:val="0"/>
      <w:marBottom w:val="0"/>
      <w:divBdr>
        <w:top w:val="none" w:sz="0" w:space="0" w:color="auto"/>
        <w:left w:val="none" w:sz="0" w:space="0" w:color="auto"/>
        <w:bottom w:val="none" w:sz="0" w:space="0" w:color="auto"/>
        <w:right w:val="none" w:sz="0" w:space="0" w:color="auto"/>
      </w:divBdr>
    </w:div>
    <w:div w:id="1805268896">
      <w:bodyDiv w:val="1"/>
      <w:marLeft w:val="0"/>
      <w:marRight w:val="0"/>
      <w:marTop w:val="0"/>
      <w:marBottom w:val="0"/>
      <w:divBdr>
        <w:top w:val="none" w:sz="0" w:space="0" w:color="auto"/>
        <w:left w:val="none" w:sz="0" w:space="0" w:color="auto"/>
        <w:bottom w:val="none" w:sz="0" w:space="0" w:color="auto"/>
        <w:right w:val="none" w:sz="0" w:space="0" w:color="auto"/>
      </w:divBdr>
    </w:div>
    <w:div w:id="1815096469">
      <w:bodyDiv w:val="1"/>
      <w:marLeft w:val="0"/>
      <w:marRight w:val="0"/>
      <w:marTop w:val="0"/>
      <w:marBottom w:val="0"/>
      <w:divBdr>
        <w:top w:val="none" w:sz="0" w:space="0" w:color="auto"/>
        <w:left w:val="none" w:sz="0" w:space="0" w:color="auto"/>
        <w:bottom w:val="none" w:sz="0" w:space="0" w:color="auto"/>
        <w:right w:val="none" w:sz="0" w:space="0" w:color="auto"/>
      </w:divBdr>
    </w:div>
    <w:div w:id="1836408565">
      <w:bodyDiv w:val="1"/>
      <w:marLeft w:val="0"/>
      <w:marRight w:val="0"/>
      <w:marTop w:val="0"/>
      <w:marBottom w:val="0"/>
      <w:divBdr>
        <w:top w:val="none" w:sz="0" w:space="0" w:color="auto"/>
        <w:left w:val="none" w:sz="0" w:space="0" w:color="auto"/>
        <w:bottom w:val="none" w:sz="0" w:space="0" w:color="auto"/>
        <w:right w:val="none" w:sz="0" w:space="0" w:color="auto"/>
      </w:divBdr>
    </w:div>
    <w:div w:id="1837837140">
      <w:bodyDiv w:val="1"/>
      <w:marLeft w:val="0"/>
      <w:marRight w:val="0"/>
      <w:marTop w:val="0"/>
      <w:marBottom w:val="0"/>
      <w:divBdr>
        <w:top w:val="none" w:sz="0" w:space="0" w:color="auto"/>
        <w:left w:val="none" w:sz="0" w:space="0" w:color="auto"/>
        <w:bottom w:val="none" w:sz="0" w:space="0" w:color="auto"/>
        <w:right w:val="none" w:sz="0" w:space="0" w:color="auto"/>
      </w:divBdr>
    </w:div>
    <w:div w:id="1843008869">
      <w:bodyDiv w:val="1"/>
      <w:marLeft w:val="0"/>
      <w:marRight w:val="0"/>
      <w:marTop w:val="0"/>
      <w:marBottom w:val="0"/>
      <w:divBdr>
        <w:top w:val="none" w:sz="0" w:space="0" w:color="auto"/>
        <w:left w:val="none" w:sz="0" w:space="0" w:color="auto"/>
        <w:bottom w:val="none" w:sz="0" w:space="0" w:color="auto"/>
        <w:right w:val="none" w:sz="0" w:space="0" w:color="auto"/>
      </w:divBdr>
    </w:div>
    <w:div w:id="1847745491">
      <w:bodyDiv w:val="1"/>
      <w:marLeft w:val="0"/>
      <w:marRight w:val="0"/>
      <w:marTop w:val="0"/>
      <w:marBottom w:val="0"/>
      <w:divBdr>
        <w:top w:val="none" w:sz="0" w:space="0" w:color="auto"/>
        <w:left w:val="none" w:sz="0" w:space="0" w:color="auto"/>
        <w:bottom w:val="none" w:sz="0" w:space="0" w:color="auto"/>
        <w:right w:val="none" w:sz="0" w:space="0" w:color="auto"/>
      </w:divBdr>
    </w:div>
    <w:div w:id="1857646362">
      <w:bodyDiv w:val="1"/>
      <w:marLeft w:val="0"/>
      <w:marRight w:val="0"/>
      <w:marTop w:val="0"/>
      <w:marBottom w:val="0"/>
      <w:divBdr>
        <w:top w:val="none" w:sz="0" w:space="0" w:color="auto"/>
        <w:left w:val="none" w:sz="0" w:space="0" w:color="auto"/>
        <w:bottom w:val="none" w:sz="0" w:space="0" w:color="auto"/>
        <w:right w:val="none" w:sz="0" w:space="0" w:color="auto"/>
      </w:divBdr>
    </w:div>
    <w:div w:id="1863395562">
      <w:bodyDiv w:val="1"/>
      <w:marLeft w:val="0"/>
      <w:marRight w:val="0"/>
      <w:marTop w:val="0"/>
      <w:marBottom w:val="0"/>
      <w:divBdr>
        <w:top w:val="none" w:sz="0" w:space="0" w:color="auto"/>
        <w:left w:val="none" w:sz="0" w:space="0" w:color="auto"/>
        <w:bottom w:val="none" w:sz="0" w:space="0" w:color="auto"/>
        <w:right w:val="none" w:sz="0" w:space="0" w:color="auto"/>
      </w:divBdr>
    </w:div>
    <w:div w:id="1866284042">
      <w:bodyDiv w:val="1"/>
      <w:marLeft w:val="0"/>
      <w:marRight w:val="0"/>
      <w:marTop w:val="0"/>
      <w:marBottom w:val="0"/>
      <w:divBdr>
        <w:top w:val="none" w:sz="0" w:space="0" w:color="auto"/>
        <w:left w:val="none" w:sz="0" w:space="0" w:color="auto"/>
        <w:bottom w:val="none" w:sz="0" w:space="0" w:color="auto"/>
        <w:right w:val="none" w:sz="0" w:space="0" w:color="auto"/>
      </w:divBdr>
    </w:div>
    <w:div w:id="1868104478">
      <w:bodyDiv w:val="1"/>
      <w:marLeft w:val="0"/>
      <w:marRight w:val="0"/>
      <w:marTop w:val="0"/>
      <w:marBottom w:val="0"/>
      <w:divBdr>
        <w:top w:val="none" w:sz="0" w:space="0" w:color="auto"/>
        <w:left w:val="none" w:sz="0" w:space="0" w:color="auto"/>
        <w:bottom w:val="none" w:sz="0" w:space="0" w:color="auto"/>
        <w:right w:val="none" w:sz="0" w:space="0" w:color="auto"/>
      </w:divBdr>
    </w:div>
    <w:div w:id="1872842145">
      <w:bodyDiv w:val="1"/>
      <w:marLeft w:val="0"/>
      <w:marRight w:val="0"/>
      <w:marTop w:val="0"/>
      <w:marBottom w:val="0"/>
      <w:divBdr>
        <w:top w:val="none" w:sz="0" w:space="0" w:color="auto"/>
        <w:left w:val="none" w:sz="0" w:space="0" w:color="auto"/>
        <w:bottom w:val="none" w:sz="0" w:space="0" w:color="auto"/>
        <w:right w:val="none" w:sz="0" w:space="0" w:color="auto"/>
      </w:divBdr>
    </w:div>
    <w:div w:id="1873034113">
      <w:bodyDiv w:val="1"/>
      <w:marLeft w:val="0"/>
      <w:marRight w:val="0"/>
      <w:marTop w:val="0"/>
      <w:marBottom w:val="0"/>
      <w:divBdr>
        <w:top w:val="none" w:sz="0" w:space="0" w:color="auto"/>
        <w:left w:val="none" w:sz="0" w:space="0" w:color="auto"/>
        <w:bottom w:val="none" w:sz="0" w:space="0" w:color="auto"/>
        <w:right w:val="none" w:sz="0" w:space="0" w:color="auto"/>
      </w:divBdr>
    </w:div>
    <w:div w:id="1904681182">
      <w:bodyDiv w:val="1"/>
      <w:marLeft w:val="0"/>
      <w:marRight w:val="0"/>
      <w:marTop w:val="0"/>
      <w:marBottom w:val="0"/>
      <w:divBdr>
        <w:top w:val="none" w:sz="0" w:space="0" w:color="auto"/>
        <w:left w:val="none" w:sz="0" w:space="0" w:color="auto"/>
        <w:bottom w:val="none" w:sz="0" w:space="0" w:color="auto"/>
        <w:right w:val="none" w:sz="0" w:space="0" w:color="auto"/>
      </w:divBdr>
    </w:div>
    <w:div w:id="1905290308">
      <w:bodyDiv w:val="1"/>
      <w:marLeft w:val="0"/>
      <w:marRight w:val="0"/>
      <w:marTop w:val="0"/>
      <w:marBottom w:val="0"/>
      <w:divBdr>
        <w:top w:val="none" w:sz="0" w:space="0" w:color="auto"/>
        <w:left w:val="none" w:sz="0" w:space="0" w:color="auto"/>
        <w:bottom w:val="none" w:sz="0" w:space="0" w:color="auto"/>
        <w:right w:val="none" w:sz="0" w:space="0" w:color="auto"/>
      </w:divBdr>
    </w:div>
    <w:div w:id="1919242356">
      <w:bodyDiv w:val="1"/>
      <w:marLeft w:val="0"/>
      <w:marRight w:val="0"/>
      <w:marTop w:val="0"/>
      <w:marBottom w:val="0"/>
      <w:divBdr>
        <w:top w:val="none" w:sz="0" w:space="0" w:color="auto"/>
        <w:left w:val="none" w:sz="0" w:space="0" w:color="auto"/>
        <w:bottom w:val="none" w:sz="0" w:space="0" w:color="auto"/>
        <w:right w:val="none" w:sz="0" w:space="0" w:color="auto"/>
      </w:divBdr>
    </w:div>
    <w:div w:id="1919557023">
      <w:bodyDiv w:val="1"/>
      <w:marLeft w:val="0"/>
      <w:marRight w:val="0"/>
      <w:marTop w:val="0"/>
      <w:marBottom w:val="0"/>
      <w:divBdr>
        <w:top w:val="none" w:sz="0" w:space="0" w:color="auto"/>
        <w:left w:val="none" w:sz="0" w:space="0" w:color="auto"/>
        <w:bottom w:val="none" w:sz="0" w:space="0" w:color="auto"/>
        <w:right w:val="none" w:sz="0" w:space="0" w:color="auto"/>
      </w:divBdr>
    </w:div>
    <w:div w:id="1928421812">
      <w:bodyDiv w:val="1"/>
      <w:marLeft w:val="0"/>
      <w:marRight w:val="0"/>
      <w:marTop w:val="0"/>
      <w:marBottom w:val="0"/>
      <w:divBdr>
        <w:top w:val="none" w:sz="0" w:space="0" w:color="auto"/>
        <w:left w:val="none" w:sz="0" w:space="0" w:color="auto"/>
        <w:bottom w:val="none" w:sz="0" w:space="0" w:color="auto"/>
        <w:right w:val="none" w:sz="0" w:space="0" w:color="auto"/>
      </w:divBdr>
    </w:div>
    <w:div w:id="1934240774">
      <w:bodyDiv w:val="1"/>
      <w:marLeft w:val="0"/>
      <w:marRight w:val="0"/>
      <w:marTop w:val="0"/>
      <w:marBottom w:val="0"/>
      <w:divBdr>
        <w:top w:val="none" w:sz="0" w:space="0" w:color="auto"/>
        <w:left w:val="none" w:sz="0" w:space="0" w:color="auto"/>
        <w:bottom w:val="none" w:sz="0" w:space="0" w:color="auto"/>
        <w:right w:val="none" w:sz="0" w:space="0" w:color="auto"/>
      </w:divBdr>
    </w:div>
    <w:div w:id="1935935375">
      <w:bodyDiv w:val="1"/>
      <w:marLeft w:val="0"/>
      <w:marRight w:val="0"/>
      <w:marTop w:val="0"/>
      <w:marBottom w:val="0"/>
      <w:divBdr>
        <w:top w:val="none" w:sz="0" w:space="0" w:color="auto"/>
        <w:left w:val="none" w:sz="0" w:space="0" w:color="auto"/>
        <w:bottom w:val="none" w:sz="0" w:space="0" w:color="auto"/>
        <w:right w:val="none" w:sz="0" w:space="0" w:color="auto"/>
      </w:divBdr>
    </w:div>
    <w:div w:id="1936084564">
      <w:bodyDiv w:val="1"/>
      <w:marLeft w:val="0"/>
      <w:marRight w:val="0"/>
      <w:marTop w:val="0"/>
      <w:marBottom w:val="0"/>
      <w:divBdr>
        <w:top w:val="none" w:sz="0" w:space="0" w:color="auto"/>
        <w:left w:val="none" w:sz="0" w:space="0" w:color="auto"/>
        <w:bottom w:val="none" w:sz="0" w:space="0" w:color="auto"/>
        <w:right w:val="none" w:sz="0" w:space="0" w:color="auto"/>
      </w:divBdr>
    </w:div>
    <w:div w:id="1945767188">
      <w:bodyDiv w:val="1"/>
      <w:marLeft w:val="0"/>
      <w:marRight w:val="0"/>
      <w:marTop w:val="0"/>
      <w:marBottom w:val="0"/>
      <w:divBdr>
        <w:top w:val="none" w:sz="0" w:space="0" w:color="auto"/>
        <w:left w:val="none" w:sz="0" w:space="0" w:color="auto"/>
        <w:bottom w:val="none" w:sz="0" w:space="0" w:color="auto"/>
        <w:right w:val="none" w:sz="0" w:space="0" w:color="auto"/>
      </w:divBdr>
    </w:div>
    <w:div w:id="1947887173">
      <w:bodyDiv w:val="1"/>
      <w:marLeft w:val="0"/>
      <w:marRight w:val="0"/>
      <w:marTop w:val="0"/>
      <w:marBottom w:val="0"/>
      <w:divBdr>
        <w:top w:val="none" w:sz="0" w:space="0" w:color="auto"/>
        <w:left w:val="none" w:sz="0" w:space="0" w:color="auto"/>
        <w:bottom w:val="none" w:sz="0" w:space="0" w:color="auto"/>
        <w:right w:val="none" w:sz="0" w:space="0" w:color="auto"/>
      </w:divBdr>
    </w:div>
    <w:div w:id="1949964514">
      <w:bodyDiv w:val="1"/>
      <w:marLeft w:val="0"/>
      <w:marRight w:val="0"/>
      <w:marTop w:val="0"/>
      <w:marBottom w:val="0"/>
      <w:divBdr>
        <w:top w:val="none" w:sz="0" w:space="0" w:color="auto"/>
        <w:left w:val="none" w:sz="0" w:space="0" w:color="auto"/>
        <w:bottom w:val="none" w:sz="0" w:space="0" w:color="auto"/>
        <w:right w:val="none" w:sz="0" w:space="0" w:color="auto"/>
      </w:divBdr>
    </w:div>
    <w:div w:id="1968510543">
      <w:bodyDiv w:val="1"/>
      <w:marLeft w:val="0"/>
      <w:marRight w:val="0"/>
      <w:marTop w:val="0"/>
      <w:marBottom w:val="0"/>
      <w:divBdr>
        <w:top w:val="none" w:sz="0" w:space="0" w:color="auto"/>
        <w:left w:val="none" w:sz="0" w:space="0" w:color="auto"/>
        <w:bottom w:val="none" w:sz="0" w:space="0" w:color="auto"/>
        <w:right w:val="none" w:sz="0" w:space="0" w:color="auto"/>
      </w:divBdr>
    </w:div>
    <w:div w:id="1972050521">
      <w:bodyDiv w:val="1"/>
      <w:marLeft w:val="0"/>
      <w:marRight w:val="0"/>
      <w:marTop w:val="0"/>
      <w:marBottom w:val="0"/>
      <w:divBdr>
        <w:top w:val="none" w:sz="0" w:space="0" w:color="auto"/>
        <w:left w:val="none" w:sz="0" w:space="0" w:color="auto"/>
        <w:bottom w:val="none" w:sz="0" w:space="0" w:color="auto"/>
        <w:right w:val="none" w:sz="0" w:space="0" w:color="auto"/>
      </w:divBdr>
    </w:div>
    <w:div w:id="1983316024">
      <w:bodyDiv w:val="1"/>
      <w:marLeft w:val="0"/>
      <w:marRight w:val="0"/>
      <w:marTop w:val="0"/>
      <w:marBottom w:val="0"/>
      <w:divBdr>
        <w:top w:val="none" w:sz="0" w:space="0" w:color="auto"/>
        <w:left w:val="none" w:sz="0" w:space="0" w:color="auto"/>
        <w:bottom w:val="none" w:sz="0" w:space="0" w:color="auto"/>
        <w:right w:val="none" w:sz="0" w:space="0" w:color="auto"/>
      </w:divBdr>
    </w:div>
    <w:div w:id="1985694101">
      <w:bodyDiv w:val="1"/>
      <w:marLeft w:val="0"/>
      <w:marRight w:val="0"/>
      <w:marTop w:val="0"/>
      <w:marBottom w:val="0"/>
      <w:divBdr>
        <w:top w:val="none" w:sz="0" w:space="0" w:color="auto"/>
        <w:left w:val="none" w:sz="0" w:space="0" w:color="auto"/>
        <w:bottom w:val="none" w:sz="0" w:space="0" w:color="auto"/>
        <w:right w:val="none" w:sz="0" w:space="0" w:color="auto"/>
      </w:divBdr>
    </w:div>
    <w:div w:id="1987659821">
      <w:bodyDiv w:val="1"/>
      <w:marLeft w:val="0"/>
      <w:marRight w:val="0"/>
      <w:marTop w:val="0"/>
      <w:marBottom w:val="0"/>
      <w:divBdr>
        <w:top w:val="none" w:sz="0" w:space="0" w:color="auto"/>
        <w:left w:val="none" w:sz="0" w:space="0" w:color="auto"/>
        <w:bottom w:val="none" w:sz="0" w:space="0" w:color="auto"/>
        <w:right w:val="none" w:sz="0" w:space="0" w:color="auto"/>
      </w:divBdr>
    </w:div>
    <w:div w:id="1997486822">
      <w:bodyDiv w:val="1"/>
      <w:marLeft w:val="0"/>
      <w:marRight w:val="0"/>
      <w:marTop w:val="0"/>
      <w:marBottom w:val="0"/>
      <w:divBdr>
        <w:top w:val="none" w:sz="0" w:space="0" w:color="auto"/>
        <w:left w:val="none" w:sz="0" w:space="0" w:color="auto"/>
        <w:bottom w:val="none" w:sz="0" w:space="0" w:color="auto"/>
        <w:right w:val="none" w:sz="0" w:space="0" w:color="auto"/>
      </w:divBdr>
    </w:div>
    <w:div w:id="2003585837">
      <w:bodyDiv w:val="1"/>
      <w:marLeft w:val="0"/>
      <w:marRight w:val="0"/>
      <w:marTop w:val="0"/>
      <w:marBottom w:val="0"/>
      <w:divBdr>
        <w:top w:val="none" w:sz="0" w:space="0" w:color="auto"/>
        <w:left w:val="none" w:sz="0" w:space="0" w:color="auto"/>
        <w:bottom w:val="none" w:sz="0" w:space="0" w:color="auto"/>
        <w:right w:val="none" w:sz="0" w:space="0" w:color="auto"/>
      </w:divBdr>
    </w:div>
    <w:div w:id="2018341225">
      <w:bodyDiv w:val="1"/>
      <w:marLeft w:val="0"/>
      <w:marRight w:val="0"/>
      <w:marTop w:val="0"/>
      <w:marBottom w:val="0"/>
      <w:divBdr>
        <w:top w:val="none" w:sz="0" w:space="0" w:color="auto"/>
        <w:left w:val="none" w:sz="0" w:space="0" w:color="auto"/>
        <w:bottom w:val="none" w:sz="0" w:space="0" w:color="auto"/>
        <w:right w:val="none" w:sz="0" w:space="0" w:color="auto"/>
      </w:divBdr>
    </w:div>
    <w:div w:id="2023630939">
      <w:bodyDiv w:val="1"/>
      <w:marLeft w:val="0"/>
      <w:marRight w:val="0"/>
      <w:marTop w:val="0"/>
      <w:marBottom w:val="0"/>
      <w:divBdr>
        <w:top w:val="none" w:sz="0" w:space="0" w:color="auto"/>
        <w:left w:val="none" w:sz="0" w:space="0" w:color="auto"/>
        <w:bottom w:val="none" w:sz="0" w:space="0" w:color="auto"/>
        <w:right w:val="none" w:sz="0" w:space="0" w:color="auto"/>
      </w:divBdr>
    </w:div>
    <w:div w:id="2035106988">
      <w:bodyDiv w:val="1"/>
      <w:marLeft w:val="0"/>
      <w:marRight w:val="0"/>
      <w:marTop w:val="0"/>
      <w:marBottom w:val="0"/>
      <w:divBdr>
        <w:top w:val="none" w:sz="0" w:space="0" w:color="auto"/>
        <w:left w:val="none" w:sz="0" w:space="0" w:color="auto"/>
        <w:bottom w:val="none" w:sz="0" w:space="0" w:color="auto"/>
        <w:right w:val="none" w:sz="0" w:space="0" w:color="auto"/>
      </w:divBdr>
    </w:div>
    <w:div w:id="2035762804">
      <w:bodyDiv w:val="1"/>
      <w:marLeft w:val="0"/>
      <w:marRight w:val="0"/>
      <w:marTop w:val="0"/>
      <w:marBottom w:val="0"/>
      <w:divBdr>
        <w:top w:val="none" w:sz="0" w:space="0" w:color="auto"/>
        <w:left w:val="none" w:sz="0" w:space="0" w:color="auto"/>
        <w:bottom w:val="none" w:sz="0" w:space="0" w:color="auto"/>
        <w:right w:val="none" w:sz="0" w:space="0" w:color="auto"/>
      </w:divBdr>
    </w:div>
    <w:div w:id="2041006096">
      <w:bodyDiv w:val="1"/>
      <w:marLeft w:val="0"/>
      <w:marRight w:val="0"/>
      <w:marTop w:val="0"/>
      <w:marBottom w:val="0"/>
      <w:divBdr>
        <w:top w:val="none" w:sz="0" w:space="0" w:color="auto"/>
        <w:left w:val="none" w:sz="0" w:space="0" w:color="auto"/>
        <w:bottom w:val="none" w:sz="0" w:space="0" w:color="auto"/>
        <w:right w:val="none" w:sz="0" w:space="0" w:color="auto"/>
      </w:divBdr>
    </w:div>
    <w:div w:id="2048331920">
      <w:bodyDiv w:val="1"/>
      <w:marLeft w:val="0"/>
      <w:marRight w:val="0"/>
      <w:marTop w:val="0"/>
      <w:marBottom w:val="0"/>
      <w:divBdr>
        <w:top w:val="none" w:sz="0" w:space="0" w:color="auto"/>
        <w:left w:val="none" w:sz="0" w:space="0" w:color="auto"/>
        <w:bottom w:val="none" w:sz="0" w:space="0" w:color="auto"/>
        <w:right w:val="none" w:sz="0" w:space="0" w:color="auto"/>
      </w:divBdr>
    </w:div>
    <w:div w:id="2060396757">
      <w:bodyDiv w:val="1"/>
      <w:marLeft w:val="0"/>
      <w:marRight w:val="0"/>
      <w:marTop w:val="0"/>
      <w:marBottom w:val="0"/>
      <w:divBdr>
        <w:top w:val="none" w:sz="0" w:space="0" w:color="auto"/>
        <w:left w:val="none" w:sz="0" w:space="0" w:color="auto"/>
        <w:bottom w:val="none" w:sz="0" w:space="0" w:color="auto"/>
        <w:right w:val="none" w:sz="0" w:space="0" w:color="auto"/>
      </w:divBdr>
    </w:div>
    <w:div w:id="2068141480">
      <w:bodyDiv w:val="1"/>
      <w:marLeft w:val="0"/>
      <w:marRight w:val="0"/>
      <w:marTop w:val="0"/>
      <w:marBottom w:val="0"/>
      <w:divBdr>
        <w:top w:val="none" w:sz="0" w:space="0" w:color="auto"/>
        <w:left w:val="none" w:sz="0" w:space="0" w:color="auto"/>
        <w:bottom w:val="none" w:sz="0" w:space="0" w:color="auto"/>
        <w:right w:val="none" w:sz="0" w:space="0" w:color="auto"/>
      </w:divBdr>
    </w:div>
    <w:div w:id="2068724995">
      <w:bodyDiv w:val="1"/>
      <w:marLeft w:val="0"/>
      <w:marRight w:val="0"/>
      <w:marTop w:val="0"/>
      <w:marBottom w:val="0"/>
      <w:divBdr>
        <w:top w:val="none" w:sz="0" w:space="0" w:color="auto"/>
        <w:left w:val="none" w:sz="0" w:space="0" w:color="auto"/>
        <w:bottom w:val="none" w:sz="0" w:space="0" w:color="auto"/>
        <w:right w:val="none" w:sz="0" w:space="0" w:color="auto"/>
      </w:divBdr>
    </w:div>
    <w:div w:id="2073119284">
      <w:bodyDiv w:val="1"/>
      <w:marLeft w:val="0"/>
      <w:marRight w:val="0"/>
      <w:marTop w:val="0"/>
      <w:marBottom w:val="0"/>
      <w:divBdr>
        <w:top w:val="none" w:sz="0" w:space="0" w:color="auto"/>
        <w:left w:val="none" w:sz="0" w:space="0" w:color="auto"/>
        <w:bottom w:val="none" w:sz="0" w:space="0" w:color="auto"/>
        <w:right w:val="none" w:sz="0" w:space="0" w:color="auto"/>
      </w:divBdr>
    </w:div>
    <w:div w:id="2074769699">
      <w:bodyDiv w:val="1"/>
      <w:marLeft w:val="0"/>
      <w:marRight w:val="0"/>
      <w:marTop w:val="0"/>
      <w:marBottom w:val="0"/>
      <w:divBdr>
        <w:top w:val="none" w:sz="0" w:space="0" w:color="auto"/>
        <w:left w:val="none" w:sz="0" w:space="0" w:color="auto"/>
        <w:bottom w:val="none" w:sz="0" w:space="0" w:color="auto"/>
        <w:right w:val="none" w:sz="0" w:space="0" w:color="auto"/>
      </w:divBdr>
    </w:div>
    <w:div w:id="2089770156">
      <w:bodyDiv w:val="1"/>
      <w:marLeft w:val="0"/>
      <w:marRight w:val="0"/>
      <w:marTop w:val="0"/>
      <w:marBottom w:val="0"/>
      <w:divBdr>
        <w:top w:val="none" w:sz="0" w:space="0" w:color="auto"/>
        <w:left w:val="none" w:sz="0" w:space="0" w:color="auto"/>
        <w:bottom w:val="none" w:sz="0" w:space="0" w:color="auto"/>
        <w:right w:val="none" w:sz="0" w:space="0" w:color="auto"/>
      </w:divBdr>
    </w:div>
    <w:div w:id="2090273404">
      <w:bodyDiv w:val="1"/>
      <w:marLeft w:val="0"/>
      <w:marRight w:val="0"/>
      <w:marTop w:val="0"/>
      <w:marBottom w:val="0"/>
      <w:divBdr>
        <w:top w:val="none" w:sz="0" w:space="0" w:color="auto"/>
        <w:left w:val="none" w:sz="0" w:space="0" w:color="auto"/>
        <w:bottom w:val="none" w:sz="0" w:space="0" w:color="auto"/>
        <w:right w:val="none" w:sz="0" w:space="0" w:color="auto"/>
      </w:divBdr>
    </w:div>
    <w:div w:id="2090957747">
      <w:bodyDiv w:val="1"/>
      <w:marLeft w:val="0"/>
      <w:marRight w:val="0"/>
      <w:marTop w:val="0"/>
      <w:marBottom w:val="0"/>
      <w:divBdr>
        <w:top w:val="none" w:sz="0" w:space="0" w:color="auto"/>
        <w:left w:val="none" w:sz="0" w:space="0" w:color="auto"/>
        <w:bottom w:val="none" w:sz="0" w:space="0" w:color="auto"/>
        <w:right w:val="none" w:sz="0" w:space="0" w:color="auto"/>
      </w:divBdr>
    </w:div>
    <w:div w:id="2100590242">
      <w:bodyDiv w:val="1"/>
      <w:marLeft w:val="0"/>
      <w:marRight w:val="0"/>
      <w:marTop w:val="0"/>
      <w:marBottom w:val="0"/>
      <w:divBdr>
        <w:top w:val="none" w:sz="0" w:space="0" w:color="auto"/>
        <w:left w:val="none" w:sz="0" w:space="0" w:color="auto"/>
        <w:bottom w:val="none" w:sz="0" w:space="0" w:color="auto"/>
        <w:right w:val="none" w:sz="0" w:space="0" w:color="auto"/>
      </w:divBdr>
    </w:div>
    <w:div w:id="2139369835">
      <w:bodyDiv w:val="1"/>
      <w:marLeft w:val="0"/>
      <w:marRight w:val="0"/>
      <w:marTop w:val="0"/>
      <w:marBottom w:val="0"/>
      <w:divBdr>
        <w:top w:val="none" w:sz="0" w:space="0" w:color="auto"/>
        <w:left w:val="none" w:sz="0" w:space="0" w:color="auto"/>
        <w:bottom w:val="none" w:sz="0" w:space="0" w:color="auto"/>
        <w:right w:val="none" w:sz="0" w:space="0" w:color="auto"/>
      </w:divBdr>
      <w:divsChild>
        <w:div w:id="1386947229">
          <w:marLeft w:val="1080"/>
          <w:marRight w:val="0"/>
          <w:marTop w:val="100"/>
          <w:marBottom w:val="0"/>
          <w:divBdr>
            <w:top w:val="none" w:sz="0" w:space="0" w:color="auto"/>
            <w:left w:val="none" w:sz="0" w:space="0" w:color="auto"/>
            <w:bottom w:val="none" w:sz="0" w:space="0" w:color="auto"/>
            <w:right w:val="none" w:sz="0" w:space="0" w:color="auto"/>
          </w:divBdr>
        </w:div>
        <w:div w:id="160026218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DA39362-2F8C-482A-9DFD-DEFA5BAB8809}"/>
      </w:docPartPr>
      <w:docPartBody>
        <w:p w:rsidR="00836E1C" w:rsidRDefault="00A87075">
          <w:r w:rsidRPr="00764E9E">
            <w:rPr>
              <w:rStyle w:val="PlaceholderText"/>
            </w:rPr>
            <w:t>Click or tap here to enter text.</w:t>
          </w:r>
        </w:p>
      </w:docPartBody>
    </w:docPart>
    <w:docPart>
      <w:docPartPr>
        <w:name w:val="41A3BDCE6F404E82BBF048303834CFE4"/>
        <w:category>
          <w:name w:val="General"/>
          <w:gallery w:val="placeholder"/>
        </w:category>
        <w:types>
          <w:type w:val="bbPlcHdr"/>
        </w:types>
        <w:behaviors>
          <w:behavior w:val="content"/>
        </w:behaviors>
        <w:guid w:val="{B03AAFAD-CF4D-4C40-8682-906AC05368BC}"/>
      </w:docPartPr>
      <w:docPartBody>
        <w:p w:rsidR="00085BB0" w:rsidRDefault="00DB20A4" w:rsidP="00DB20A4">
          <w:pPr>
            <w:pStyle w:val="41A3BDCE6F404E82BBF048303834CFE4"/>
            <w:framePr w:wrap="around"/>
          </w:pPr>
          <w:r w:rsidRPr="00764E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075"/>
    <w:rsid w:val="00081A63"/>
    <w:rsid w:val="00085BB0"/>
    <w:rsid w:val="000B3E5E"/>
    <w:rsid w:val="001023F0"/>
    <w:rsid w:val="00121F55"/>
    <w:rsid w:val="001404CE"/>
    <w:rsid w:val="0016574A"/>
    <w:rsid w:val="00170BD3"/>
    <w:rsid w:val="0018182C"/>
    <w:rsid w:val="001A636B"/>
    <w:rsid w:val="001B5D21"/>
    <w:rsid w:val="001E474D"/>
    <w:rsid w:val="002028C4"/>
    <w:rsid w:val="00257E58"/>
    <w:rsid w:val="00297060"/>
    <w:rsid w:val="002A6657"/>
    <w:rsid w:val="002E2947"/>
    <w:rsid w:val="002E60CA"/>
    <w:rsid w:val="003D2202"/>
    <w:rsid w:val="003F4F97"/>
    <w:rsid w:val="003F61FB"/>
    <w:rsid w:val="00421CB4"/>
    <w:rsid w:val="00435F9C"/>
    <w:rsid w:val="004C3D23"/>
    <w:rsid w:val="004D76D5"/>
    <w:rsid w:val="00546354"/>
    <w:rsid w:val="005C19A6"/>
    <w:rsid w:val="005E5197"/>
    <w:rsid w:val="0062533C"/>
    <w:rsid w:val="00651B9D"/>
    <w:rsid w:val="006807B0"/>
    <w:rsid w:val="006B0EEE"/>
    <w:rsid w:val="006C7EC6"/>
    <w:rsid w:val="00774E39"/>
    <w:rsid w:val="007C6884"/>
    <w:rsid w:val="007E7627"/>
    <w:rsid w:val="00836E1C"/>
    <w:rsid w:val="008613E8"/>
    <w:rsid w:val="00894449"/>
    <w:rsid w:val="008A76A7"/>
    <w:rsid w:val="008D2FCD"/>
    <w:rsid w:val="00900D3E"/>
    <w:rsid w:val="009012CE"/>
    <w:rsid w:val="00927AC5"/>
    <w:rsid w:val="00930842"/>
    <w:rsid w:val="00965FAF"/>
    <w:rsid w:val="009B6940"/>
    <w:rsid w:val="009E7C19"/>
    <w:rsid w:val="00A01766"/>
    <w:rsid w:val="00A11B13"/>
    <w:rsid w:val="00A512C3"/>
    <w:rsid w:val="00A7625A"/>
    <w:rsid w:val="00A813DB"/>
    <w:rsid w:val="00A82433"/>
    <w:rsid w:val="00A87075"/>
    <w:rsid w:val="00A905EE"/>
    <w:rsid w:val="00A97F98"/>
    <w:rsid w:val="00AC0957"/>
    <w:rsid w:val="00B24CAA"/>
    <w:rsid w:val="00B61FB6"/>
    <w:rsid w:val="00B766AF"/>
    <w:rsid w:val="00B852B4"/>
    <w:rsid w:val="00BD4580"/>
    <w:rsid w:val="00C8072E"/>
    <w:rsid w:val="00C83361"/>
    <w:rsid w:val="00CE41E1"/>
    <w:rsid w:val="00CE5019"/>
    <w:rsid w:val="00D3716C"/>
    <w:rsid w:val="00D413A1"/>
    <w:rsid w:val="00D6700B"/>
    <w:rsid w:val="00D825C8"/>
    <w:rsid w:val="00D94A19"/>
    <w:rsid w:val="00D975B0"/>
    <w:rsid w:val="00DB20A4"/>
    <w:rsid w:val="00DB2A56"/>
    <w:rsid w:val="00E15D85"/>
    <w:rsid w:val="00E4417A"/>
    <w:rsid w:val="00E709E5"/>
    <w:rsid w:val="00EC17AD"/>
    <w:rsid w:val="00F20FDF"/>
    <w:rsid w:val="00F778CA"/>
    <w:rsid w:val="00F83595"/>
    <w:rsid w:val="00F962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EC6"/>
    <w:rPr>
      <w:color w:val="808080"/>
    </w:rPr>
  </w:style>
  <w:style w:type="paragraph" w:customStyle="1" w:styleId="41A3BDCE6F404E82BBF048303834CFE4">
    <w:name w:val="41A3BDCE6F404E82BBF048303834CFE4"/>
    <w:rsid w:val="00DB20A4"/>
    <w:pPr>
      <w:framePr w:w="2880" w:wrap="around" w:vAnchor="page" w:hAnchor="text" w:y="9361" w:anchorLock="1"/>
      <w:spacing w:before="120" w:after="120" w:line="288" w:lineRule="auto"/>
    </w:pPr>
    <w:rPr>
      <w:rFonts w:ascii="Helvetica Light" w:eastAsiaTheme="minorHAnsi" w:hAnsi="Helvetica Light"/>
      <w:sz w:val="23"/>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NASA">
      <a:dk1>
        <a:sysClr val="windowText" lastClr="000000"/>
      </a:dk1>
      <a:lt1>
        <a:sysClr val="window" lastClr="FFFFFF"/>
      </a:lt1>
      <a:dk2>
        <a:srgbClr val="44546A"/>
      </a:dk2>
      <a:lt2>
        <a:srgbClr val="E7E6E6"/>
      </a:lt2>
      <a:accent1>
        <a:srgbClr val="0B3D91"/>
      </a:accent1>
      <a:accent2>
        <a:srgbClr val="FC3D21"/>
      </a:accent2>
      <a:accent3>
        <a:srgbClr val="A5A5A5"/>
      </a:accent3>
      <a:accent4>
        <a:srgbClr val="FFC000"/>
      </a:accent4>
      <a:accent5>
        <a:srgbClr val="5B9BD5"/>
      </a:accent5>
      <a:accent6>
        <a:srgbClr val="70AD47"/>
      </a:accent6>
      <a:hlink>
        <a:srgbClr val="0563C1"/>
      </a:hlink>
      <a:folHlink>
        <a:srgbClr val="954F72"/>
      </a:folHlink>
    </a:clrScheme>
    <a:fontScheme name="Helvetica Light">
      <a:majorFont>
        <a:latin typeface="Helvetica" panose="00000000000000000000"/>
        <a:ea typeface=""/>
        <a:cs typeface=""/>
        <a:font script="Jpan" typeface="ＭＳ Ｐゴシック"/>
        <a:font script="Hang" typeface="굴림"/>
        <a:font script="Hans" typeface="黑体"/>
        <a:font script="Hant" typeface="微軟正黑體"/>
        <a:font script="Arab" typeface="Helvetica"/>
        <a:font script="Hebr" typeface="Helvetica"/>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Helvetica"/>
        <a:font script="Uigh" typeface="Microsoft Uighur"/>
        <a:font script="Geor" typeface="Sylfaen"/>
      </a:majorFont>
      <a:minorFont>
        <a:latin typeface="Helvetica Light" panose="020B0403020202020204"/>
        <a:ea typeface=""/>
        <a:cs typeface=""/>
        <a:font script="Jpan" typeface="ＭＳ Ｐゴシック"/>
        <a:font script="Hang" typeface="굴림"/>
        <a:font script="Hans" typeface="黑体"/>
        <a:font script="Hant" typeface="微軟正黑體"/>
        <a:font script="Arab" typeface="Helvetica Light"/>
        <a:font script="Hebr" typeface="Helvetica Light"/>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Helvetica Light"/>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b:Source>
    <b:Tag>NASAStyle</b:Tag>
    <b:SourceType>DocumentFromInternetSite</b:SourceType>
    <b:Guid>{33A83D91-AACE-2843-9D99-06EA6C2217E2}</b:Guid>
    <b:Author>
      <b:Author>
        <b:Corporate>National Aeronautics and Space Administration</b:Corporate>
      </b:Author>
    </b:Author>
    <b:Title>NASA Correspondence Management and Communications Standards and Style</b:Title>
    <b:City>Washington</b:City>
    <b:Year>2006</b:Year>
    <b:StateProvince>DC</b:StateProvince>
    <b:StandardNumber>NPR 1450.10D</b:StandardNumber>
    <b:ShortTitle>NPR 1450.10D</b:ShortTitle>
    <b:RefOrder>9</b:RefOrder>
  </b:Source>
  <b:Source>
    <b:Tag>Rao20</b:Tag>
    <b:SourceType>JournalArticle</b:SourceType>
    <b:Guid>{42EF8D5D-1E8B-EC47-8B1F-EFA581E599E9}</b:Guid>
    <b:Title>Orbital-use fees could more than quadruple the value of the space industry</b:Title>
    <b:Year>2020</b:Year>
    <b:JournalName>Proceedings of the National Academy of Sciences</b:JournalName>
    <b:Pages>12756-12762</b:Pages>
    <b:Author>
      <b:Author>
        <b:NameList>
          <b:Person>
            <b:Last>Rao</b:Last>
            <b:First>Akhil</b:First>
          </b:Person>
          <b:Person>
            <b:Last>Burgess</b:Last>
            <b:Middle>G</b:Middle>
            <b:First>Matthew</b:First>
          </b:Person>
          <b:Person>
            <b:Last>Kaffine</b:Last>
            <b:First>Daniel</b:First>
          </b:Person>
        </b:NameList>
      </b:Author>
    </b:Author>
    <b:Volume>117</b:Volume>
    <b:Issue>23</b:Issue>
    <b:RefOrder>6</b:RefOrder>
  </b:Source>
  <b:Source>
    <b:Tag>Noz23</b:Tag>
    <b:SourceType>JournalArticle</b:SourceType>
    <b:Guid>{FEFCB218-6B58-6243-95CD-97066C92DB53}</b:Guid>
    <b:Title>To What Extent Will Space Debris Impact the Economy?</b:Title>
    <b:JournalName>Space Policy</b:JournalName>
    <b:Year>2023</b:Year>
    <b:Volume>66</b:Volume>
    <b:Pages>101580</b:Pages>
    <b:Author>
      <b:Author>
        <b:NameList>
          <b:Person>
            <b:Last>Nozawa</b:Last>
            <b:First>Wataru</b:First>
          </b:Person>
          <b:Person>
            <b:Last>Kurita</b:Last>
            <b:First>Kenichi</b:First>
          </b:Person>
          <b:Person>
            <b:Last>Tamaki</b:Last>
            <b:First>Tetsuya</b:First>
          </b:Person>
          <b:Person>
            <b:Last>Managi</b:Last>
            <b:First>Shunsuke</b:First>
          </b:Person>
        </b:NameList>
      </b:Author>
    </b:Author>
    <b:RefOrder>7</b:RefOrder>
  </b:Source>
  <b:Source>
    <b:Tag>Rao23</b:Tag>
    <b:SourceType>JournalArticle</b:SourceType>
    <b:Guid>{00DE840B-ABF7-BB46-94F4-4E8A3B443805}</b:Guid>
    <b:Title>OPUS: An Integrated Assessment Model for Satellites and Orbital Debris</b:Title>
    <b:Year>2023</b:Year>
    <b:Volume>https://arxiv.org/abs/2309.10252v1</b:Volume>
    <b:Author>
      <b:Author>
        <b:NameList>
          <b:Person>
            <b:Last>Rao</b:Last>
            <b:First>Akhil</b:First>
          </b:Person>
          <b:Person>
            <b:Last>Moretto</b:Last>
            <b:First>Mark</b:First>
          </b:Person>
          <b:Person>
            <b:Last>Holzinger</b:Last>
            <b:First>Marcus</b:First>
          </b:Person>
          <b:Person>
            <b:Last>Kaffine</b:Last>
            <b:First>Daniel</b:First>
          </b:Person>
          <b:Person>
            <b:Last>Weeden</b:Last>
            <b:First>Brian</b:First>
          </b:Person>
        </b:NameList>
      </b:Author>
    </b:Author>
    <b:RefOrder>8</b:RefOrder>
  </b:Source>
  <b:Source>
    <b:Tag>OMB23</b:Tag>
    <b:SourceType>DocumentFromInternetSite</b:SourceType>
    <b:Guid>{7DE4E816-4629-B342-B3C4-3CBC478D1867}</b:Guid>
    <b:Title>Circular No. A-4</b:Title>
    <b:Year>2023</b:Year>
    <b:Author>
      <b:Author>
        <b:NameList>
          <b:Person>
            <b:Last>OMB</b:Last>
          </b:Person>
        </b:NameList>
      </b:Author>
    </b:Author>
    <b:URL>https://www.whitehouse.gov/wp-content/uploads/2023/11/CircularA-4.pdf</b:URL>
    <b:Month>November</b:Month>
    <b:Day>9</b:Day>
    <b:YearAccessed>2025</b:YearAccessed>
    <b:MonthAccessed>January</b:MonthAccessed>
    <b:DayAccessed>3</b:DayAccessed>
    <b:RefOrder>4</b:RefOrder>
  </b:Source>
  <b:Source>
    <b:Tag>Loc24</b:Tag>
    <b:SourceType>Report</b:SourceType>
    <b:Guid>{93F50E7E-0FC8-C54A-824F-27376B45F581}</b:Guid>
    <b:Title>Cost and Benefit Analysis of Mitigating, Tracking, and Remediating Orbital Debris</b:Title>
    <b:Year>2024</b:Year>
    <b:Publisher>NASA OTPS</b:Publisher>
    <b:City>Washington, DC</b:City>
    <b:Author>
      <b:Author>
        <b:NameList>
          <b:Person>
            <b:Last>Locke</b:Last>
            <b:First>Jericho</b:First>
          </b:Person>
          <b:Person>
            <b:Last>Colvin</b:Last>
            <b:Middle>J</b:Middle>
            <b:First>Thomas</b:First>
          </b:Person>
          <b:Person>
            <b:Last>Ratliff</b:Last>
            <b:First>Laura</b:First>
          </b:Person>
          <b:Person>
            <b:Last>Abdul-Hamid</b:Last>
            <b:First>Asaad</b:First>
          </b:Person>
          <b:Person>
            <b:Last>Samples</b:Last>
            <b:First>Colin</b:First>
          </b:Person>
        </b:NameList>
      </b:Author>
    </b:Author>
    <b:RefOrder>2</b:RefOrder>
  </b:Source>
  <b:Source>
    <b:Tag>Col23</b:Tag>
    <b:SourceType>Report</b:SourceType>
    <b:Guid>{71B43185-114D-684F-8675-BB1C16996B0D}</b:Guid>
    <b:Title>Cost and Benefit Analysis of Orbital Debris Remediation</b:Title>
    <b:Publisher>NASA OTPS</b:Publisher>
    <b:City>Washington, DC</b:City>
    <b:Year>2023</b:Year>
    <b:Author>
      <b:Author>
        <b:NameList>
          <b:Person>
            <b:Last>Colvin</b:Last>
            <b:Middle>J</b:Middle>
            <b:First>Thomas</b:First>
          </b:Person>
          <b:Person>
            <b:Last>Karcz</b:Last>
            <b:First>John</b:First>
          </b:Person>
          <b:Person>
            <b:Last>Wusk</b:Last>
            <b:First>Grace</b:First>
          </b:Person>
        </b:NameList>
      </b:Author>
    </b:Author>
    <b:RefOrder>1</b:RefOrder>
  </b:Source>
  <b:Source>
    <b:Tag>Sat24</b:Tag>
    <b:SourceType>InternetSite</b:SourceType>
    <b:Guid>{2E0C34AD-DD69-7B40-BCAF-10384BB635E3}</b:Guid>
    <b:Title>COMMERCIAL SATELLITE INDUSTRY CONTINUES HISTORIC GROWTH WHILE DOMINATING GLOBAL SPACE BUSINESS – SIA RELEASES 27TH ANNUAL STATE OF THE SATELLITE INDUSTRY REPORT</b:Title>
    <b:Year>2024</b:Year>
    <b:Author>
      <b:Author>
        <b:Corporate>Satellite Industry Association</b:Corporate>
      </b:Author>
    </b:Author>
    <b:URL>https://sia.org/commercial-satellite-industry-continues-historic-growth-dominating-global-space-business-27th-annual-state-of-the-satellite-industry-report/</b:URL>
    <b:ProductionCompany>Satellite Industry Association</b:ProductionCompany>
    <b:Month>June</b:Month>
    <b:Day>13</b:Day>
    <b:YearAccessed>2025</b:YearAccessed>
    <b:MonthAccessed>January</b:MonthAccessed>
    <b:DayAccessed>4</b:DayAccessed>
    <b:RefOrder>5</b:RefOrder>
  </b:Source>
  <b:Source>
    <b:Tag>Mar52</b:Tag>
    <b:SourceType>JournalArticle</b:SourceType>
    <b:Guid>{E68C6213-675D-2D41-A4F7-FE5FC4EB2132}</b:Guid>
    <b:Author>
      <b:Author>
        <b:NameList>
          <b:Person>
            <b:Last>Markowitz</b:Last>
            <b:First>Harry</b:First>
          </b:Person>
        </b:NameList>
      </b:Author>
    </b:Author>
    <b:Title>Portfolio Selection</b:Title>
    <b:Year>1952</b:Year>
    <b:JournalName>The Journal of Finance</b:JournalName>
    <b:Volume>7</b:Volume>
    <b:Issue>1</b:Issue>
    <b:Pages>77-91</b:Pages>
    <b:RefOrder>3</b:RefOrder>
  </b:Source>
  <b:Source>
    <b:Tag>Lev70</b:Tag>
    <b:SourceType>JournalArticle</b:SourceType>
    <b:Guid>{35B7B0BE-1A07-5F4F-910D-384E862621FF}</b:Guid>
    <b:Title>International Diversification of Investment Portfolios</b:Title>
    <b:JournalName>The American Economic Review</b:JournalName>
    <b:Year>1970</b:Year>
    <b:Volume>60</b:Volume>
    <b:Issue>4</b:Issue>
    <b:Pages>668-675</b:Pages>
    <b:Author>
      <b:Author>
        <b:NameList>
          <b:Person>
            <b:Last>Levy</b:Last>
            <b:First>Haim</b:First>
          </b:Person>
          <b:Person>
            <b:Last>Sarnat</b:Last>
            <b:First>Marshall</b:First>
          </b:Person>
        </b:NameList>
      </b:Author>
    </b:Author>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41DF37-CDD6-45AF-9398-8182E9BCE6F7}">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54</Pages>
  <Words>14502</Words>
  <Characters>82663</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96972</CharactersWithSpaces>
  <SharedDoc>false</SharedDoc>
  <HyperlinkBase/>
  <HLinks>
    <vt:vector size="228" baseType="variant">
      <vt:variant>
        <vt:i4>1572913</vt:i4>
      </vt:variant>
      <vt:variant>
        <vt:i4>224</vt:i4>
      </vt:variant>
      <vt:variant>
        <vt:i4>0</vt:i4>
      </vt:variant>
      <vt:variant>
        <vt:i4>5</vt:i4>
      </vt:variant>
      <vt:variant>
        <vt:lpwstr/>
      </vt:variant>
      <vt:variant>
        <vt:lpwstr>_Toc190257531</vt:lpwstr>
      </vt:variant>
      <vt:variant>
        <vt:i4>1572913</vt:i4>
      </vt:variant>
      <vt:variant>
        <vt:i4>218</vt:i4>
      </vt:variant>
      <vt:variant>
        <vt:i4>0</vt:i4>
      </vt:variant>
      <vt:variant>
        <vt:i4>5</vt:i4>
      </vt:variant>
      <vt:variant>
        <vt:lpwstr/>
      </vt:variant>
      <vt:variant>
        <vt:lpwstr>_Toc190257530</vt:lpwstr>
      </vt:variant>
      <vt:variant>
        <vt:i4>1638449</vt:i4>
      </vt:variant>
      <vt:variant>
        <vt:i4>212</vt:i4>
      </vt:variant>
      <vt:variant>
        <vt:i4>0</vt:i4>
      </vt:variant>
      <vt:variant>
        <vt:i4>5</vt:i4>
      </vt:variant>
      <vt:variant>
        <vt:lpwstr/>
      </vt:variant>
      <vt:variant>
        <vt:lpwstr>_Toc190257529</vt:lpwstr>
      </vt:variant>
      <vt:variant>
        <vt:i4>1638449</vt:i4>
      </vt:variant>
      <vt:variant>
        <vt:i4>206</vt:i4>
      </vt:variant>
      <vt:variant>
        <vt:i4>0</vt:i4>
      </vt:variant>
      <vt:variant>
        <vt:i4>5</vt:i4>
      </vt:variant>
      <vt:variant>
        <vt:lpwstr/>
      </vt:variant>
      <vt:variant>
        <vt:lpwstr>_Toc190257528</vt:lpwstr>
      </vt:variant>
      <vt:variant>
        <vt:i4>1638449</vt:i4>
      </vt:variant>
      <vt:variant>
        <vt:i4>200</vt:i4>
      </vt:variant>
      <vt:variant>
        <vt:i4>0</vt:i4>
      </vt:variant>
      <vt:variant>
        <vt:i4>5</vt:i4>
      </vt:variant>
      <vt:variant>
        <vt:lpwstr/>
      </vt:variant>
      <vt:variant>
        <vt:lpwstr>_Toc190257527</vt:lpwstr>
      </vt:variant>
      <vt:variant>
        <vt:i4>1638449</vt:i4>
      </vt:variant>
      <vt:variant>
        <vt:i4>194</vt:i4>
      </vt:variant>
      <vt:variant>
        <vt:i4>0</vt:i4>
      </vt:variant>
      <vt:variant>
        <vt:i4>5</vt:i4>
      </vt:variant>
      <vt:variant>
        <vt:lpwstr/>
      </vt:variant>
      <vt:variant>
        <vt:lpwstr>_Toc190257526</vt:lpwstr>
      </vt:variant>
      <vt:variant>
        <vt:i4>1638449</vt:i4>
      </vt:variant>
      <vt:variant>
        <vt:i4>188</vt:i4>
      </vt:variant>
      <vt:variant>
        <vt:i4>0</vt:i4>
      </vt:variant>
      <vt:variant>
        <vt:i4>5</vt:i4>
      </vt:variant>
      <vt:variant>
        <vt:lpwstr/>
      </vt:variant>
      <vt:variant>
        <vt:lpwstr>_Toc190257525</vt:lpwstr>
      </vt:variant>
      <vt:variant>
        <vt:i4>1638449</vt:i4>
      </vt:variant>
      <vt:variant>
        <vt:i4>182</vt:i4>
      </vt:variant>
      <vt:variant>
        <vt:i4>0</vt:i4>
      </vt:variant>
      <vt:variant>
        <vt:i4>5</vt:i4>
      </vt:variant>
      <vt:variant>
        <vt:lpwstr/>
      </vt:variant>
      <vt:variant>
        <vt:lpwstr>_Toc190257524</vt:lpwstr>
      </vt:variant>
      <vt:variant>
        <vt:i4>1638449</vt:i4>
      </vt:variant>
      <vt:variant>
        <vt:i4>176</vt:i4>
      </vt:variant>
      <vt:variant>
        <vt:i4>0</vt:i4>
      </vt:variant>
      <vt:variant>
        <vt:i4>5</vt:i4>
      </vt:variant>
      <vt:variant>
        <vt:lpwstr/>
      </vt:variant>
      <vt:variant>
        <vt:lpwstr>_Toc190257523</vt:lpwstr>
      </vt:variant>
      <vt:variant>
        <vt:i4>1638449</vt:i4>
      </vt:variant>
      <vt:variant>
        <vt:i4>170</vt:i4>
      </vt:variant>
      <vt:variant>
        <vt:i4>0</vt:i4>
      </vt:variant>
      <vt:variant>
        <vt:i4>5</vt:i4>
      </vt:variant>
      <vt:variant>
        <vt:lpwstr/>
      </vt:variant>
      <vt:variant>
        <vt:lpwstr>_Toc190257522</vt:lpwstr>
      </vt:variant>
      <vt:variant>
        <vt:i4>1638449</vt:i4>
      </vt:variant>
      <vt:variant>
        <vt:i4>164</vt:i4>
      </vt:variant>
      <vt:variant>
        <vt:i4>0</vt:i4>
      </vt:variant>
      <vt:variant>
        <vt:i4>5</vt:i4>
      </vt:variant>
      <vt:variant>
        <vt:lpwstr/>
      </vt:variant>
      <vt:variant>
        <vt:lpwstr>_Toc190257521</vt:lpwstr>
      </vt:variant>
      <vt:variant>
        <vt:i4>1638449</vt:i4>
      </vt:variant>
      <vt:variant>
        <vt:i4>158</vt:i4>
      </vt:variant>
      <vt:variant>
        <vt:i4>0</vt:i4>
      </vt:variant>
      <vt:variant>
        <vt:i4>5</vt:i4>
      </vt:variant>
      <vt:variant>
        <vt:lpwstr/>
      </vt:variant>
      <vt:variant>
        <vt:lpwstr>_Toc190257520</vt:lpwstr>
      </vt:variant>
      <vt:variant>
        <vt:i4>1703985</vt:i4>
      </vt:variant>
      <vt:variant>
        <vt:i4>152</vt:i4>
      </vt:variant>
      <vt:variant>
        <vt:i4>0</vt:i4>
      </vt:variant>
      <vt:variant>
        <vt:i4>5</vt:i4>
      </vt:variant>
      <vt:variant>
        <vt:lpwstr/>
      </vt:variant>
      <vt:variant>
        <vt:lpwstr>_Toc190257519</vt:lpwstr>
      </vt:variant>
      <vt:variant>
        <vt:i4>1703985</vt:i4>
      </vt:variant>
      <vt:variant>
        <vt:i4>146</vt:i4>
      </vt:variant>
      <vt:variant>
        <vt:i4>0</vt:i4>
      </vt:variant>
      <vt:variant>
        <vt:i4>5</vt:i4>
      </vt:variant>
      <vt:variant>
        <vt:lpwstr/>
      </vt:variant>
      <vt:variant>
        <vt:lpwstr>_Toc190257518</vt:lpwstr>
      </vt:variant>
      <vt:variant>
        <vt:i4>1703985</vt:i4>
      </vt:variant>
      <vt:variant>
        <vt:i4>140</vt:i4>
      </vt:variant>
      <vt:variant>
        <vt:i4>0</vt:i4>
      </vt:variant>
      <vt:variant>
        <vt:i4>5</vt:i4>
      </vt:variant>
      <vt:variant>
        <vt:lpwstr/>
      </vt:variant>
      <vt:variant>
        <vt:lpwstr>_Toc190257517</vt:lpwstr>
      </vt:variant>
      <vt:variant>
        <vt:i4>1703985</vt:i4>
      </vt:variant>
      <vt:variant>
        <vt:i4>134</vt:i4>
      </vt:variant>
      <vt:variant>
        <vt:i4>0</vt:i4>
      </vt:variant>
      <vt:variant>
        <vt:i4>5</vt:i4>
      </vt:variant>
      <vt:variant>
        <vt:lpwstr/>
      </vt:variant>
      <vt:variant>
        <vt:lpwstr>_Toc190257516</vt:lpwstr>
      </vt:variant>
      <vt:variant>
        <vt:i4>1703985</vt:i4>
      </vt:variant>
      <vt:variant>
        <vt:i4>128</vt:i4>
      </vt:variant>
      <vt:variant>
        <vt:i4>0</vt:i4>
      </vt:variant>
      <vt:variant>
        <vt:i4>5</vt:i4>
      </vt:variant>
      <vt:variant>
        <vt:lpwstr/>
      </vt:variant>
      <vt:variant>
        <vt:lpwstr>_Toc190257515</vt:lpwstr>
      </vt:variant>
      <vt:variant>
        <vt:i4>1703985</vt:i4>
      </vt:variant>
      <vt:variant>
        <vt:i4>122</vt:i4>
      </vt:variant>
      <vt:variant>
        <vt:i4>0</vt:i4>
      </vt:variant>
      <vt:variant>
        <vt:i4>5</vt:i4>
      </vt:variant>
      <vt:variant>
        <vt:lpwstr/>
      </vt:variant>
      <vt:variant>
        <vt:lpwstr>_Toc190257514</vt:lpwstr>
      </vt:variant>
      <vt:variant>
        <vt:i4>1703985</vt:i4>
      </vt:variant>
      <vt:variant>
        <vt:i4>116</vt:i4>
      </vt:variant>
      <vt:variant>
        <vt:i4>0</vt:i4>
      </vt:variant>
      <vt:variant>
        <vt:i4>5</vt:i4>
      </vt:variant>
      <vt:variant>
        <vt:lpwstr/>
      </vt:variant>
      <vt:variant>
        <vt:lpwstr>_Toc190257513</vt:lpwstr>
      </vt:variant>
      <vt:variant>
        <vt:i4>1703985</vt:i4>
      </vt:variant>
      <vt:variant>
        <vt:i4>110</vt:i4>
      </vt:variant>
      <vt:variant>
        <vt:i4>0</vt:i4>
      </vt:variant>
      <vt:variant>
        <vt:i4>5</vt:i4>
      </vt:variant>
      <vt:variant>
        <vt:lpwstr/>
      </vt:variant>
      <vt:variant>
        <vt:lpwstr>_Toc190257512</vt:lpwstr>
      </vt:variant>
      <vt:variant>
        <vt:i4>1703985</vt:i4>
      </vt:variant>
      <vt:variant>
        <vt:i4>104</vt:i4>
      </vt:variant>
      <vt:variant>
        <vt:i4>0</vt:i4>
      </vt:variant>
      <vt:variant>
        <vt:i4>5</vt:i4>
      </vt:variant>
      <vt:variant>
        <vt:lpwstr/>
      </vt:variant>
      <vt:variant>
        <vt:lpwstr>_Toc190257511</vt:lpwstr>
      </vt:variant>
      <vt:variant>
        <vt:i4>1703985</vt:i4>
      </vt:variant>
      <vt:variant>
        <vt:i4>98</vt:i4>
      </vt:variant>
      <vt:variant>
        <vt:i4>0</vt:i4>
      </vt:variant>
      <vt:variant>
        <vt:i4>5</vt:i4>
      </vt:variant>
      <vt:variant>
        <vt:lpwstr/>
      </vt:variant>
      <vt:variant>
        <vt:lpwstr>_Toc190257510</vt:lpwstr>
      </vt:variant>
      <vt:variant>
        <vt:i4>1769521</vt:i4>
      </vt:variant>
      <vt:variant>
        <vt:i4>92</vt:i4>
      </vt:variant>
      <vt:variant>
        <vt:i4>0</vt:i4>
      </vt:variant>
      <vt:variant>
        <vt:i4>5</vt:i4>
      </vt:variant>
      <vt:variant>
        <vt:lpwstr/>
      </vt:variant>
      <vt:variant>
        <vt:lpwstr>_Toc190257509</vt:lpwstr>
      </vt:variant>
      <vt:variant>
        <vt:i4>1769521</vt:i4>
      </vt:variant>
      <vt:variant>
        <vt:i4>86</vt:i4>
      </vt:variant>
      <vt:variant>
        <vt:i4>0</vt:i4>
      </vt:variant>
      <vt:variant>
        <vt:i4>5</vt:i4>
      </vt:variant>
      <vt:variant>
        <vt:lpwstr/>
      </vt:variant>
      <vt:variant>
        <vt:lpwstr>_Toc190257508</vt:lpwstr>
      </vt:variant>
      <vt:variant>
        <vt:i4>1769521</vt:i4>
      </vt:variant>
      <vt:variant>
        <vt:i4>80</vt:i4>
      </vt:variant>
      <vt:variant>
        <vt:i4>0</vt:i4>
      </vt:variant>
      <vt:variant>
        <vt:i4>5</vt:i4>
      </vt:variant>
      <vt:variant>
        <vt:lpwstr/>
      </vt:variant>
      <vt:variant>
        <vt:lpwstr>_Toc190257507</vt:lpwstr>
      </vt:variant>
      <vt:variant>
        <vt:i4>1769521</vt:i4>
      </vt:variant>
      <vt:variant>
        <vt:i4>74</vt:i4>
      </vt:variant>
      <vt:variant>
        <vt:i4>0</vt:i4>
      </vt:variant>
      <vt:variant>
        <vt:i4>5</vt:i4>
      </vt:variant>
      <vt:variant>
        <vt:lpwstr/>
      </vt:variant>
      <vt:variant>
        <vt:lpwstr>_Toc190257506</vt:lpwstr>
      </vt:variant>
      <vt:variant>
        <vt:i4>1769521</vt:i4>
      </vt:variant>
      <vt:variant>
        <vt:i4>68</vt:i4>
      </vt:variant>
      <vt:variant>
        <vt:i4>0</vt:i4>
      </vt:variant>
      <vt:variant>
        <vt:i4>5</vt:i4>
      </vt:variant>
      <vt:variant>
        <vt:lpwstr/>
      </vt:variant>
      <vt:variant>
        <vt:lpwstr>_Toc190257505</vt:lpwstr>
      </vt:variant>
      <vt:variant>
        <vt:i4>1769521</vt:i4>
      </vt:variant>
      <vt:variant>
        <vt:i4>62</vt:i4>
      </vt:variant>
      <vt:variant>
        <vt:i4>0</vt:i4>
      </vt:variant>
      <vt:variant>
        <vt:i4>5</vt:i4>
      </vt:variant>
      <vt:variant>
        <vt:lpwstr/>
      </vt:variant>
      <vt:variant>
        <vt:lpwstr>_Toc190257504</vt:lpwstr>
      </vt:variant>
      <vt:variant>
        <vt:i4>1769521</vt:i4>
      </vt:variant>
      <vt:variant>
        <vt:i4>56</vt:i4>
      </vt:variant>
      <vt:variant>
        <vt:i4>0</vt:i4>
      </vt:variant>
      <vt:variant>
        <vt:i4>5</vt:i4>
      </vt:variant>
      <vt:variant>
        <vt:lpwstr/>
      </vt:variant>
      <vt:variant>
        <vt:lpwstr>_Toc190257503</vt:lpwstr>
      </vt:variant>
      <vt:variant>
        <vt:i4>1769521</vt:i4>
      </vt:variant>
      <vt:variant>
        <vt:i4>50</vt:i4>
      </vt:variant>
      <vt:variant>
        <vt:i4>0</vt:i4>
      </vt:variant>
      <vt:variant>
        <vt:i4>5</vt:i4>
      </vt:variant>
      <vt:variant>
        <vt:lpwstr/>
      </vt:variant>
      <vt:variant>
        <vt:lpwstr>_Toc190257502</vt:lpwstr>
      </vt:variant>
      <vt:variant>
        <vt:i4>1769521</vt:i4>
      </vt:variant>
      <vt:variant>
        <vt:i4>44</vt:i4>
      </vt:variant>
      <vt:variant>
        <vt:i4>0</vt:i4>
      </vt:variant>
      <vt:variant>
        <vt:i4>5</vt:i4>
      </vt:variant>
      <vt:variant>
        <vt:lpwstr/>
      </vt:variant>
      <vt:variant>
        <vt:lpwstr>_Toc190257501</vt:lpwstr>
      </vt:variant>
      <vt:variant>
        <vt:i4>1769521</vt:i4>
      </vt:variant>
      <vt:variant>
        <vt:i4>38</vt:i4>
      </vt:variant>
      <vt:variant>
        <vt:i4>0</vt:i4>
      </vt:variant>
      <vt:variant>
        <vt:i4>5</vt:i4>
      </vt:variant>
      <vt:variant>
        <vt:lpwstr/>
      </vt:variant>
      <vt:variant>
        <vt:lpwstr>_Toc190257500</vt:lpwstr>
      </vt:variant>
      <vt:variant>
        <vt:i4>1179696</vt:i4>
      </vt:variant>
      <vt:variant>
        <vt:i4>32</vt:i4>
      </vt:variant>
      <vt:variant>
        <vt:i4>0</vt:i4>
      </vt:variant>
      <vt:variant>
        <vt:i4>5</vt:i4>
      </vt:variant>
      <vt:variant>
        <vt:lpwstr/>
      </vt:variant>
      <vt:variant>
        <vt:lpwstr>_Toc190257499</vt:lpwstr>
      </vt:variant>
      <vt:variant>
        <vt:i4>1179696</vt:i4>
      </vt:variant>
      <vt:variant>
        <vt:i4>26</vt:i4>
      </vt:variant>
      <vt:variant>
        <vt:i4>0</vt:i4>
      </vt:variant>
      <vt:variant>
        <vt:i4>5</vt:i4>
      </vt:variant>
      <vt:variant>
        <vt:lpwstr/>
      </vt:variant>
      <vt:variant>
        <vt:lpwstr>_Toc190257498</vt:lpwstr>
      </vt:variant>
      <vt:variant>
        <vt:i4>1179696</vt:i4>
      </vt:variant>
      <vt:variant>
        <vt:i4>20</vt:i4>
      </vt:variant>
      <vt:variant>
        <vt:i4>0</vt:i4>
      </vt:variant>
      <vt:variant>
        <vt:i4>5</vt:i4>
      </vt:variant>
      <vt:variant>
        <vt:lpwstr/>
      </vt:variant>
      <vt:variant>
        <vt:lpwstr>_Toc190257497</vt:lpwstr>
      </vt:variant>
      <vt:variant>
        <vt:i4>1179696</vt:i4>
      </vt:variant>
      <vt:variant>
        <vt:i4>14</vt:i4>
      </vt:variant>
      <vt:variant>
        <vt:i4>0</vt:i4>
      </vt:variant>
      <vt:variant>
        <vt:i4>5</vt:i4>
      </vt:variant>
      <vt:variant>
        <vt:lpwstr/>
      </vt:variant>
      <vt:variant>
        <vt:lpwstr>_Toc190257496</vt:lpwstr>
      </vt:variant>
      <vt:variant>
        <vt:i4>1179696</vt:i4>
      </vt:variant>
      <vt:variant>
        <vt:i4>8</vt:i4>
      </vt:variant>
      <vt:variant>
        <vt:i4>0</vt:i4>
      </vt:variant>
      <vt:variant>
        <vt:i4>5</vt:i4>
      </vt:variant>
      <vt:variant>
        <vt:lpwstr/>
      </vt:variant>
      <vt:variant>
        <vt:lpwstr>_Toc190257495</vt:lpwstr>
      </vt:variant>
      <vt:variant>
        <vt:i4>6881332</vt:i4>
      </vt:variant>
      <vt:variant>
        <vt:i4>3</vt:i4>
      </vt:variant>
      <vt:variant>
        <vt:i4>0</vt:i4>
      </vt:variant>
      <vt:variant>
        <vt:i4>5</vt:i4>
      </vt:variant>
      <vt:variant>
        <vt:lpwstr>https://www.nasa.gov/otps/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2025-06-16T16:09:00Z</dcterms:created>
  <dcterms:modified xsi:type="dcterms:W3CDTF">2025-06-16T16:09:00Z</dcterms:modified>
  <cp:category/>
</cp:coreProperties>
</file>