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771DA" w14:textId="684A9394" w:rsidR="008C44D0" w:rsidRPr="008C44D0" w:rsidRDefault="008C44D0" w:rsidP="008C44D0">
      <w:r w:rsidRPr="008C44D0">
        <w:rPr>
          <w:b/>
          <w:bCs/>
        </w:rPr>
        <w:t>Title:</w:t>
      </w:r>
      <w:r w:rsidRPr="008C44D0">
        <w:t xml:space="preserve"> </w:t>
      </w:r>
      <w:r w:rsidR="00B259DD" w:rsidRPr="00B259DD">
        <w:rPr>
          <w:b/>
          <w:bCs/>
        </w:rPr>
        <w:t>Vacuum Laser Additive Manufacturing of Lunar Regolith: System Development and Performance Validation</w:t>
      </w:r>
    </w:p>
    <w:p w14:paraId="02637F0C" w14:textId="11238615" w:rsidR="003569D0" w:rsidRDefault="003569D0" w:rsidP="008C44D0">
      <w:pPr>
        <w:rPr>
          <w:b/>
          <w:bCs/>
        </w:rPr>
      </w:pPr>
      <w:r>
        <w:rPr>
          <w:b/>
          <w:bCs/>
        </w:rPr>
        <w:t xml:space="preserve">Conference: </w:t>
      </w:r>
      <w:r w:rsidRPr="003569D0">
        <w:t>WAMS 2026</w:t>
      </w:r>
    </w:p>
    <w:p w14:paraId="50507385" w14:textId="13BB278E" w:rsidR="00E46C89" w:rsidRDefault="008C44D0" w:rsidP="008C44D0">
      <w:r w:rsidRPr="008C44D0">
        <w:rPr>
          <w:b/>
          <w:bCs/>
        </w:rPr>
        <w:t>Author:</w:t>
      </w:r>
      <w:r w:rsidRPr="008C44D0">
        <w:t xml:space="preserve"> Parker D. Shake</w:t>
      </w:r>
      <w:r w:rsidR="00B259DD" w:rsidRPr="00D0244F">
        <w:rPr>
          <w:b/>
          <w:bCs/>
          <w:vertAlign w:val="superscript"/>
        </w:rPr>
        <w:t>1</w:t>
      </w:r>
    </w:p>
    <w:p w14:paraId="513C9267" w14:textId="55064C9B" w:rsidR="003569D0" w:rsidRPr="00E46C89" w:rsidRDefault="00E46C89" w:rsidP="008C44D0">
      <w:r>
        <w:rPr>
          <w:b/>
          <w:bCs/>
        </w:rPr>
        <w:t xml:space="preserve">Contributors: </w:t>
      </w:r>
      <w:r>
        <w:t>James Lydon</w:t>
      </w:r>
      <w:r w:rsidR="00B259DD" w:rsidRPr="00D0244F">
        <w:rPr>
          <w:b/>
          <w:bCs/>
          <w:vertAlign w:val="superscript"/>
        </w:rPr>
        <w:t>3</w:t>
      </w:r>
      <w:r>
        <w:t xml:space="preserve">, </w:t>
      </w:r>
      <w:r w:rsidR="00B259DD">
        <w:t>Jonathan Bonebrake</w:t>
      </w:r>
      <w:r w:rsidR="00B259DD" w:rsidRPr="00D0244F">
        <w:rPr>
          <w:b/>
          <w:bCs/>
          <w:vertAlign w:val="superscript"/>
        </w:rPr>
        <w:t>1</w:t>
      </w:r>
      <w:r w:rsidR="00B259DD">
        <w:t>, Ethan Bravinder</w:t>
      </w:r>
      <w:r w:rsidR="00B259DD" w:rsidRPr="00D0244F">
        <w:rPr>
          <w:b/>
          <w:bCs/>
          <w:vertAlign w:val="superscript"/>
        </w:rPr>
        <w:t>1</w:t>
      </w:r>
      <w:r>
        <w:t>,</w:t>
      </w:r>
      <w:r w:rsidR="00B259DD">
        <w:t xml:space="preserve"> </w:t>
      </w:r>
      <w:r w:rsidR="00B259DD">
        <w:t>Arne Croell</w:t>
      </w:r>
      <w:r w:rsidR="00B259DD" w:rsidRPr="00D0244F">
        <w:rPr>
          <w:b/>
          <w:bCs/>
          <w:vertAlign w:val="superscript"/>
        </w:rPr>
        <w:t>2</w:t>
      </w:r>
      <w:r w:rsidR="00B259DD">
        <w:t xml:space="preserve">, </w:t>
      </w:r>
      <w:r w:rsidR="00B259DD">
        <w:t>Anthony Jones</w:t>
      </w:r>
      <w:r w:rsidR="00B259DD" w:rsidRPr="00D0244F">
        <w:rPr>
          <w:b/>
          <w:bCs/>
          <w:vertAlign w:val="superscript"/>
        </w:rPr>
        <w:t>1</w:t>
      </w:r>
      <w:r w:rsidR="00B259DD">
        <w:t xml:space="preserve">, </w:t>
      </w:r>
      <w:r w:rsidR="00B259DD">
        <w:t>Benjamin Rupp</w:t>
      </w:r>
      <w:r w:rsidR="00B259DD" w:rsidRPr="00D0244F">
        <w:rPr>
          <w:b/>
          <w:bCs/>
          <w:vertAlign w:val="superscript"/>
        </w:rPr>
        <w:t>1</w:t>
      </w:r>
    </w:p>
    <w:p w14:paraId="6D376A18" w14:textId="7BAE781C" w:rsidR="008C44D0" w:rsidRDefault="008C44D0" w:rsidP="008C44D0">
      <w:r w:rsidRPr="008C44D0">
        <w:rPr>
          <w:b/>
          <w:bCs/>
        </w:rPr>
        <w:t>Affiliation:</w:t>
      </w:r>
      <w:r w:rsidRPr="008C44D0">
        <w:t xml:space="preserve"> </w:t>
      </w:r>
      <w:r w:rsidR="00B259DD" w:rsidRPr="00D0244F">
        <w:rPr>
          <w:b/>
          <w:bCs/>
          <w:vertAlign w:val="superscript"/>
        </w:rPr>
        <w:t>1</w:t>
      </w:r>
      <w:r w:rsidR="00B259DD" w:rsidRPr="00D0244F">
        <w:rPr>
          <w:b/>
          <w:bCs/>
        </w:rPr>
        <w:t>NASA/MSFC; </w:t>
      </w:r>
      <w:r w:rsidR="00B259DD" w:rsidRPr="00D0244F">
        <w:rPr>
          <w:b/>
          <w:bCs/>
          <w:vertAlign w:val="superscript"/>
        </w:rPr>
        <w:t>2</w:t>
      </w:r>
      <w:r w:rsidR="00B259DD">
        <w:rPr>
          <w:b/>
          <w:bCs/>
        </w:rPr>
        <w:t>UAH</w:t>
      </w:r>
      <w:r w:rsidR="00B259DD" w:rsidRPr="00D0244F">
        <w:rPr>
          <w:b/>
          <w:bCs/>
        </w:rPr>
        <w:t>; </w:t>
      </w:r>
      <w:r w:rsidR="00B259DD" w:rsidRPr="00D0244F">
        <w:rPr>
          <w:b/>
          <w:bCs/>
          <w:vertAlign w:val="superscript"/>
        </w:rPr>
        <w:t>3</w:t>
      </w:r>
      <w:r w:rsidR="00B259DD">
        <w:rPr>
          <w:b/>
          <w:bCs/>
        </w:rPr>
        <w:t>Amentum</w:t>
      </w:r>
    </w:p>
    <w:p w14:paraId="4F1A20EE" w14:textId="6E5F0CB8" w:rsidR="006F5799" w:rsidRPr="008C44D0" w:rsidRDefault="006F5799" w:rsidP="008C44D0">
      <w:r w:rsidRPr="008C44D0">
        <w:rPr>
          <w:b/>
          <w:bCs/>
        </w:rPr>
        <w:t>Theme:</w:t>
      </w:r>
      <w:r w:rsidRPr="008C44D0">
        <w:t xml:space="preserve"> </w:t>
      </w:r>
      <w:r>
        <w:t xml:space="preserve">Out of Earth Manufacturing - </w:t>
      </w:r>
      <w:r w:rsidRPr="008C44D0">
        <w:t>In-situ resource utilization (ISRU) and regolith processing</w:t>
      </w:r>
    </w:p>
    <w:p w14:paraId="2663634B" w14:textId="77777777" w:rsidR="008C44D0" w:rsidRPr="008C44D0" w:rsidRDefault="00A17C0C" w:rsidP="008C44D0">
      <w:r>
        <w:pict w14:anchorId="674A0610">
          <v:rect id="_x0000_i1025" style="width:0;height:0" o:hralign="center" o:hrstd="t" o:hr="t" fillcolor="#a0a0a0" stroked="f"/>
        </w:pict>
      </w:r>
    </w:p>
    <w:p w14:paraId="4DE50193" w14:textId="77777777" w:rsidR="008C44D0" w:rsidRPr="008C44D0" w:rsidRDefault="008C44D0" w:rsidP="008C44D0">
      <w:r w:rsidRPr="008C44D0">
        <w:t xml:space="preserve">The NASA Moon to Mars architecture outlines several technology development areas enabling sustainable lunar and Martian exploration. This work advances capabilities in in-situ resource utilization (ISRU), infrastructure support, and autonomous robotic systems—contributing options for future mission planners. </w:t>
      </w:r>
      <w:proofErr w:type="gramStart"/>
      <w:r w:rsidRPr="008C44D0">
        <w:t>Locally-sourced</w:t>
      </w:r>
      <w:proofErr w:type="gramEnd"/>
      <w:r w:rsidRPr="008C44D0">
        <w:t xml:space="preserve"> regolith construction could support landing pads, habitats, radiation shielding, and dust mitigation structures, aligning with a "make it, not take it" approach to reduce Earth-launch dependence. This presentation directly addresses the WAMS 2026 theme of out-of-Earth manufacturing via planetary surface ISRU.</w:t>
      </w:r>
    </w:p>
    <w:p w14:paraId="1E003EB5" w14:textId="77777777" w:rsidR="008C44D0" w:rsidRPr="008C44D0" w:rsidRDefault="008C44D0" w:rsidP="00CB28A7">
      <w:r w:rsidRPr="008C44D0">
        <w:t>NASA Marshall Space Flight Center internally designed, built, and demonstrated (TRL 5) a laser regolith directed energy deposition (LR-DED) system for large-scale construction in lunar and Martian environments. The system combines laser powder directed energy deposition (LP-DED) fundamentals with a dust-mitigated, vacuum-rated 6-axis robotic arm and novel processing protocols converting raw regolith into structural components. This system was developed in-house to demonstrate technical feasibility and enable commercial partnerships, with industry partners supplying individual hardware components.</w:t>
      </w:r>
    </w:p>
    <w:p w14:paraId="0A725C9B" w14:textId="77777777" w:rsidR="008C44D0" w:rsidRPr="008C44D0" w:rsidRDefault="008C44D0" w:rsidP="008C44D0">
      <w:r w:rsidRPr="008C44D0">
        <w:t>Key design drivers included: (1) no binders or additives, (2) minimal feedstock preprocessing, (3) vacuum compatibility with dust mitigation (TRL 5), and (4) autonomous operation with pre-programmed decision logic. Feedstocks tested include unmodified Lunar Highlands Simulant-1 (LHS-1) and Mars Global Simulant-1 (MGS-1). A vibratory conveyance system fluidizes and delivers powder into the laser interaction zone without consumable gases, reducing logistical burden for sustained planetary operations. In-situ thermal monitoring was integrated for process control and digital twin development.</w:t>
      </w:r>
    </w:p>
    <w:p w14:paraId="60575849" w14:textId="62FEA24F" w:rsidR="008C44D0" w:rsidRPr="00CB28A7" w:rsidRDefault="008C44D0" w:rsidP="00CB28A7">
      <w:r w:rsidRPr="008C44D0">
        <w:t xml:space="preserve">Process development was conducted on a modified laser powder bed fusion (L-PBF) system, enabling rapid parameter optimization before LR-DED scaling. A decommissioned Concept Laser M1 was refurbished with open-architecture controls and real-time thermal monitoring tuned for regolith melt pools. L-PBF specimens achieved 17 </w:t>
      </w:r>
      <w:proofErr w:type="spellStart"/>
      <w:r w:rsidRPr="008C44D0">
        <w:t>ksi</w:t>
      </w:r>
      <w:proofErr w:type="spellEnd"/>
      <w:r w:rsidRPr="008C44D0">
        <w:t xml:space="preserve"> compression strength (ASTM C39), exceeding Portland cement (4-8 </w:t>
      </w:r>
      <w:proofErr w:type="spellStart"/>
      <w:r w:rsidRPr="008C44D0">
        <w:t>ksi</w:t>
      </w:r>
      <w:proofErr w:type="spellEnd"/>
      <w:r w:rsidRPr="008C44D0">
        <w:t xml:space="preserve">) and approaching high-strength concrete (10-12 </w:t>
      </w:r>
      <w:proofErr w:type="spellStart"/>
      <w:r w:rsidRPr="008C44D0">
        <w:t>ksi</w:t>
      </w:r>
      <w:proofErr w:type="spellEnd"/>
      <w:r w:rsidRPr="008C44D0">
        <w:t>), indicating suitability for load-bearing structures. X-ray diffraction (XRD), energy-dispersive spectroscopy (EDS), and scanning electron microscopy (SEM) confirmed uniform phase distribution and fine-grained morphology</w:t>
      </w:r>
      <w:r w:rsidR="00CB28A7">
        <w:t>.</w:t>
      </w:r>
    </w:p>
    <w:p w14:paraId="11E2C848" w14:textId="6AFFA5FA" w:rsidR="008C44D0" w:rsidRPr="008C44D0" w:rsidRDefault="008C44D0" w:rsidP="008C44D0">
      <w:r w:rsidRPr="008C44D0">
        <w:t xml:space="preserve">LR-DED processing succeeded in both atmospheric and high-vacuum environments. Atmospheric specimens exhibited higher density; vacuum specimens showed 5-10% porosity from volatile outgassing </w:t>
      </w:r>
      <w:r w:rsidRPr="008C44D0">
        <w:lastRenderedPageBreak/>
        <w:t>but maintained structural integrity. Initial MGS-1 trials confirmed processability within system specifications; parameter refinement continues.</w:t>
      </w:r>
    </w:p>
    <w:p w14:paraId="442A2AE1" w14:textId="389F55E2" w:rsidR="008C44D0" w:rsidRPr="008C44D0" w:rsidRDefault="008C44D0" w:rsidP="008C44D0">
      <w:r w:rsidRPr="008C44D0">
        <w:t>This presentation will detail: (1) vacuum-compatible system architecture and dust mitigation,</w:t>
      </w:r>
      <w:r w:rsidRPr="008C44D0">
        <w:rPr>
          <w:color w:val="FF0000"/>
        </w:rPr>
        <w:t xml:space="preserve"> </w:t>
      </w:r>
      <w:r w:rsidRPr="008C44D0">
        <w:t>(</w:t>
      </w:r>
      <w:r w:rsidR="00CB28A7">
        <w:t>2</w:t>
      </w:r>
      <w:r w:rsidRPr="008C44D0">
        <w:t>) cross-platform L-PBF-to-LR-DED validation, and (</w:t>
      </w:r>
      <w:r w:rsidR="00CB28A7">
        <w:t>3</w:t>
      </w:r>
      <w:r w:rsidRPr="008C44D0">
        <w:t>) TRL advancement insights. We share development rationale and enabling discoveries to accelerate commercial ISRU-AM advancement, providing a technical foundation for industry partners to build upon without proprietary constraints.</w:t>
      </w:r>
    </w:p>
    <w:p w14:paraId="3BFBBE93" w14:textId="48D9D194" w:rsidR="008C44D0" w:rsidRPr="008C44D0" w:rsidRDefault="008C44D0" w:rsidP="008C44D0"/>
    <w:sectPr w:rsidR="008C44D0" w:rsidRPr="008C4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D0"/>
    <w:rsid w:val="003569D0"/>
    <w:rsid w:val="003771D9"/>
    <w:rsid w:val="00425B30"/>
    <w:rsid w:val="006F5799"/>
    <w:rsid w:val="008C44D0"/>
    <w:rsid w:val="00A17C0C"/>
    <w:rsid w:val="00B259DD"/>
    <w:rsid w:val="00B45BF7"/>
    <w:rsid w:val="00B92530"/>
    <w:rsid w:val="00CB28A7"/>
    <w:rsid w:val="00D939D7"/>
    <w:rsid w:val="00E46C89"/>
    <w:rsid w:val="00EC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8D0823"/>
  <w15:chartTrackingRefBased/>
  <w15:docId w15:val="{4C2914F0-5650-414F-8A8C-FB374939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4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4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4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4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4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4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4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4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4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4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4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4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4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4D0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C0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B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BD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E46C89"/>
    <w:rPr>
      <w:strike/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rsid w:val="00E46C89"/>
    <w:rPr>
      <w:strike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3D276-DB0F-4445-B497-FCA7CC50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Shake, Parker D. (MSFC-EM42)</dc:creator>
  <cp:keywords/>
  <dc:description/>
  <cp:lastModifiedBy>Shake, Parker D. (MSFC-EM42)</cp:lastModifiedBy>
  <cp:revision>2</cp:revision>
  <dcterms:created xsi:type="dcterms:W3CDTF">2025-12-02T21:59:00Z</dcterms:created>
  <dcterms:modified xsi:type="dcterms:W3CDTF">2025-12-02T21:59:00Z</dcterms:modified>
</cp:coreProperties>
</file>